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8AB8" w14:textId="72F93449" w:rsidR="00245983" w:rsidRPr="002033A5" w:rsidRDefault="00872FCA">
      <w:pPr>
        <w:tabs>
          <w:tab w:val="left" w:pos="5400"/>
        </w:tabs>
        <w:jc w:val="right"/>
        <w:rPr>
          <w:sz w:val="24"/>
          <w:szCs w:val="24"/>
        </w:rPr>
      </w:pPr>
      <w:r w:rsidRPr="002033A5">
        <w:rPr>
          <w:sz w:val="24"/>
          <w:szCs w:val="24"/>
        </w:rPr>
        <w:t xml:space="preserve">Date : </w:t>
      </w:r>
      <w:r w:rsidR="001B0C5B" w:rsidRPr="002033A5">
        <w:rPr>
          <w:sz w:val="24"/>
          <w:szCs w:val="24"/>
        </w:rPr>
        <w:t>1</w:t>
      </w:r>
      <w:r w:rsidR="002033A5">
        <w:rPr>
          <w:sz w:val="24"/>
          <w:szCs w:val="24"/>
        </w:rPr>
        <w:t>8</w:t>
      </w:r>
      <w:r w:rsidR="001600E5" w:rsidRPr="002033A5">
        <w:rPr>
          <w:i/>
          <w:sz w:val="24"/>
          <w:szCs w:val="24"/>
        </w:rPr>
        <w:t>-</w:t>
      </w:r>
      <w:r w:rsidR="001B0C5B" w:rsidRPr="002033A5">
        <w:rPr>
          <w:i/>
          <w:sz w:val="24"/>
          <w:szCs w:val="24"/>
        </w:rPr>
        <w:t>08</w:t>
      </w:r>
      <w:r w:rsidR="004D661A" w:rsidRPr="002033A5">
        <w:rPr>
          <w:i/>
          <w:sz w:val="24"/>
          <w:szCs w:val="24"/>
        </w:rPr>
        <w:t>-</w:t>
      </w:r>
      <w:r w:rsidR="001600E5" w:rsidRPr="002033A5">
        <w:rPr>
          <w:i/>
          <w:sz w:val="24"/>
          <w:szCs w:val="24"/>
        </w:rPr>
        <w:t>20</w:t>
      </w:r>
      <w:r w:rsidR="00071BAE" w:rsidRPr="002033A5">
        <w:rPr>
          <w:i/>
          <w:sz w:val="24"/>
          <w:szCs w:val="24"/>
        </w:rPr>
        <w:t>2</w:t>
      </w:r>
      <w:r w:rsidR="001B0C5B" w:rsidRPr="002033A5">
        <w:rPr>
          <w:i/>
          <w:sz w:val="24"/>
          <w:szCs w:val="24"/>
        </w:rPr>
        <w:t>3</w:t>
      </w:r>
    </w:p>
    <w:p w14:paraId="053E6C5F" w14:textId="77777777" w:rsidR="00245983" w:rsidRPr="002033A5" w:rsidRDefault="00245983">
      <w:pPr>
        <w:tabs>
          <w:tab w:val="left" w:pos="0"/>
          <w:tab w:val="right" w:pos="1980"/>
          <w:tab w:val="left" w:pos="2160"/>
          <w:tab w:val="left" w:pos="4320"/>
        </w:tabs>
        <w:rPr>
          <w:sz w:val="24"/>
          <w:szCs w:val="24"/>
        </w:rPr>
      </w:pPr>
    </w:p>
    <w:p w14:paraId="46D01C7A" w14:textId="77777777" w:rsidR="00245983" w:rsidRPr="002033A5" w:rsidRDefault="00245983">
      <w:pPr>
        <w:tabs>
          <w:tab w:val="left" w:pos="0"/>
          <w:tab w:val="right" w:pos="1980"/>
          <w:tab w:val="left" w:pos="2160"/>
          <w:tab w:val="left" w:pos="4320"/>
        </w:tabs>
        <w:rPr>
          <w:b/>
          <w:sz w:val="24"/>
          <w:szCs w:val="24"/>
        </w:rPr>
      </w:pPr>
    </w:p>
    <w:p w14:paraId="38E1555A" w14:textId="77777777" w:rsidR="00245983" w:rsidRPr="002033A5" w:rsidRDefault="00872FCA">
      <w:pPr>
        <w:pStyle w:val="Caption"/>
        <w:rPr>
          <w:sz w:val="24"/>
          <w:szCs w:val="24"/>
        </w:rPr>
      </w:pPr>
      <w:r w:rsidRPr="002033A5">
        <w:rPr>
          <w:sz w:val="24"/>
          <w:szCs w:val="24"/>
        </w:rPr>
        <w:t xml:space="preserve">DEMANDE DE </w:t>
      </w:r>
      <w:r w:rsidR="00DC6D85" w:rsidRPr="002033A5">
        <w:rPr>
          <w:sz w:val="24"/>
          <w:szCs w:val="24"/>
        </w:rPr>
        <w:t xml:space="preserve">COTATION </w:t>
      </w:r>
    </w:p>
    <w:p w14:paraId="37944027" w14:textId="6C55347B" w:rsidR="00245983" w:rsidRPr="002033A5" w:rsidRDefault="00872FCA">
      <w:pPr>
        <w:pStyle w:val="Caption"/>
        <w:rPr>
          <w:sz w:val="24"/>
          <w:szCs w:val="24"/>
        </w:rPr>
      </w:pPr>
      <w:r w:rsidRPr="002033A5">
        <w:rPr>
          <w:sz w:val="24"/>
          <w:szCs w:val="24"/>
        </w:rPr>
        <w:t>RFQ Nº UNFPA/</w:t>
      </w:r>
      <w:r w:rsidR="004D3AD4" w:rsidRPr="002033A5">
        <w:rPr>
          <w:sz w:val="24"/>
          <w:szCs w:val="24"/>
        </w:rPr>
        <w:t>HTI</w:t>
      </w:r>
      <w:r w:rsidRPr="002033A5">
        <w:rPr>
          <w:sz w:val="24"/>
          <w:szCs w:val="24"/>
        </w:rPr>
        <w:t>/RFQ/</w:t>
      </w:r>
      <w:r w:rsidR="00C73F28" w:rsidRPr="002033A5">
        <w:rPr>
          <w:sz w:val="24"/>
          <w:szCs w:val="24"/>
        </w:rPr>
        <w:t>23</w:t>
      </w:r>
      <w:r w:rsidR="00FF23CE">
        <w:rPr>
          <w:sz w:val="24"/>
          <w:szCs w:val="24"/>
        </w:rPr>
        <w:t>/03</w:t>
      </w:r>
      <w:r w:rsidR="00D73BEF">
        <w:rPr>
          <w:sz w:val="24"/>
          <w:szCs w:val="24"/>
        </w:rPr>
        <w:t>2</w:t>
      </w:r>
    </w:p>
    <w:p w14:paraId="4D6DE592" w14:textId="77777777" w:rsidR="00245983" w:rsidRPr="002033A5" w:rsidRDefault="00245983">
      <w:pPr>
        <w:jc w:val="center"/>
        <w:rPr>
          <w:sz w:val="24"/>
          <w:szCs w:val="24"/>
        </w:rPr>
      </w:pPr>
    </w:p>
    <w:p w14:paraId="09D2EF4C" w14:textId="77777777" w:rsidR="00D73BEF" w:rsidRDefault="00D73BEF">
      <w:pPr>
        <w:pStyle w:val="letter"/>
        <w:rPr>
          <w:szCs w:val="24"/>
        </w:rPr>
      </w:pPr>
    </w:p>
    <w:p w14:paraId="0C0CDDDF" w14:textId="28276178" w:rsidR="00245983" w:rsidRPr="002033A5" w:rsidRDefault="00872FCA">
      <w:pPr>
        <w:pStyle w:val="letter"/>
        <w:rPr>
          <w:szCs w:val="24"/>
        </w:rPr>
      </w:pPr>
      <w:r w:rsidRPr="002033A5">
        <w:rPr>
          <w:szCs w:val="24"/>
        </w:rPr>
        <w:t>Madame, Monsieur,</w:t>
      </w:r>
    </w:p>
    <w:p w14:paraId="64A86098" w14:textId="77777777" w:rsidR="00245983" w:rsidRPr="002033A5" w:rsidRDefault="00245983">
      <w:pPr>
        <w:pStyle w:val="letter"/>
        <w:rPr>
          <w:szCs w:val="24"/>
        </w:rPr>
      </w:pPr>
    </w:p>
    <w:p w14:paraId="72EBBE0A" w14:textId="65FFFA04" w:rsidR="00D73BEF" w:rsidRPr="00274875" w:rsidRDefault="00D73BEF" w:rsidP="00D73BEF">
      <w:pPr>
        <w:spacing w:before="100" w:beforeAutospacing="1" w:after="100" w:afterAutospacing="1"/>
        <w:jc w:val="both"/>
        <w:rPr>
          <w:sz w:val="24"/>
          <w:szCs w:val="24"/>
        </w:rPr>
      </w:pPr>
      <w:r w:rsidRPr="00274875">
        <w:rPr>
          <w:sz w:val="24"/>
          <w:szCs w:val="24"/>
        </w:rPr>
        <w:t>Le Fonds des Nations Unies pour la Population (UNFPA) en appui à la Direction de Santé de la Famille (DSF) du ministère de la Santé Publique et de la Population (MSPP) recherche un</w:t>
      </w:r>
      <w:r>
        <w:rPr>
          <w:sz w:val="24"/>
          <w:szCs w:val="24"/>
        </w:rPr>
        <w:t xml:space="preserve"> consultant national qui constituera son équipe pour procéder à la préparation d’un document de communication sur la planification familiale et Contraception ciblant particulièrement les jeunes et les adolescent/es. </w:t>
      </w:r>
    </w:p>
    <w:p w14:paraId="386A0914" w14:textId="77777777" w:rsidR="00436C19" w:rsidRPr="002033A5" w:rsidRDefault="00436C19" w:rsidP="00436C19">
      <w:pPr>
        <w:rPr>
          <w:b/>
          <w:sz w:val="24"/>
          <w:szCs w:val="24"/>
        </w:rPr>
      </w:pPr>
    </w:p>
    <w:p w14:paraId="56EB1663" w14:textId="77777777" w:rsidR="00436C19" w:rsidRPr="002033A5" w:rsidRDefault="00436C19" w:rsidP="00436C19">
      <w:pPr>
        <w:rPr>
          <w:b/>
          <w:sz w:val="24"/>
          <w:szCs w:val="24"/>
        </w:rPr>
      </w:pPr>
      <w:r w:rsidRPr="002033A5">
        <w:rPr>
          <w:b/>
          <w:sz w:val="24"/>
          <w:szCs w:val="24"/>
        </w:rPr>
        <w:t>Contexte</w:t>
      </w:r>
    </w:p>
    <w:p w14:paraId="13C6B0CE" w14:textId="77777777" w:rsidR="00071BAE" w:rsidRPr="002033A5" w:rsidRDefault="00071BAE" w:rsidP="00436C19">
      <w:pPr>
        <w:rPr>
          <w:b/>
          <w:sz w:val="24"/>
          <w:szCs w:val="24"/>
        </w:rPr>
      </w:pPr>
    </w:p>
    <w:p w14:paraId="48798456" w14:textId="77777777" w:rsidR="00071BAE" w:rsidRPr="002033A5" w:rsidRDefault="00071BAE" w:rsidP="00071BAE">
      <w:pPr>
        <w:rPr>
          <w:b/>
          <w:sz w:val="24"/>
          <w:szCs w:val="24"/>
        </w:rPr>
      </w:pPr>
      <w:r w:rsidRPr="002033A5">
        <w:rPr>
          <w:b/>
          <w:sz w:val="24"/>
          <w:szCs w:val="24"/>
        </w:rPr>
        <w:t>I-. CONTEXTE</w:t>
      </w:r>
    </w:p>
    <w:p w14:paraId="5D8E18BC" w14:textId="77777777" w:rsidR="00071BAE" w:rsidRPr="002033A5" w:rsidRDefault="00071BAE" w:rsidP="00071BAE">
      <w:pPr>
        <w:rPr>
          <w:sz w:val="24"/>
          <w:szCs w:val="24"/>
        </w:rPr>
      </w:pPr>
    </w:p>
    <w:p w14:paraId="7FC011F3" w14:textId="77777777" w:rsidR="00D73BEF" w:rsidRDefault="00D73BEF" w:rsidP="00D73BEF">
      <w:pPr>
        <w:jc w:val="both"/>
        <w:rPr>
          <w:sz w:val="24"/>
          <w:szCs w:val="24"/>
        </w:rPr>
      </w:pPr>
      <w:r w:rsidRPr="00D73BEF">
        <w:rPr>
          <w:sz w:val="24"/>
          <w:szCs w:val="24"/>
        </w:rPr>
        <w:t>Haïti compte plus de 11 millions d’habitants (estimation World Population Review). Haïti est un pays très jeune avec plus de la moitié (environ 54%) de sa population âgée de moins de 25 ans et près de 31% ont entre 10-24 ans. Le rapport sur le Bonheur dans le monde classait Haïti à la 148e place sur 156 pays, avec un indice de bonheur global de 3,582 sur 10 en 2018. Pourtant, en vue d’amorcer le développement durable et efficient, le pays s’était doté d’un Plan stratégique de Développement à l’horizon 2030 visant à faire d’Haïti un pays émergent à l’horizon 2030. Cela passe par des investissements très ciblés et innovants. Avec son poids démographique et ses potentialités, investir de façon judicieuse dans la jeunesse permettra au pays d’amorcer ce développement. L’indice de fécondité reste assez élevé, selon l’EMMUS. Cette fécondité oscille autour de 10% chez les jeunes filles de 15-19 ans dont 8% avaient déjà enfanté et 2% étaient enceintes. Dans Certains départements géographiques ce taux dépasse les 14%. Récemment avec le confinement, dans plusieurs coins du pays, des adolescentes écolières et non écolières sont tombées enceintes. Le cas le plus patent est celui de Beaumont dans la Grande-Anse. Parmi les géniteurs, on retrouve des adolescents. Les différentes crises récurrentes risquent d’aggraver davantage cette fécondité qui a un impact sur le potentiel des jeunes particulièrement les jeunes filles.</w:t>
      </w:r>
    </w:p>
    <w:p w14:paraId="7F4AB1B4" w14:textId="4F5B61B4" w:rsidR="00D73BEF" w:rsidRPr="00D73BEF" w:rsidRDefault="00D73BEF" w:rsidP="00D73BEF">
      <w:pPr>
        <w:jc w:val="both"/>
        <w:rPr>
          <w:sz w:val="24"/>
          <w:szCs w:val="24"/>
        </w:rPr>
      </w:pPr>
      <w:r w:rsidRPr="00D73BEF">
        <w:rPr>
          <w:sz w:val="24"/>
          <w:szCs w:val="24"/>
        </w:rPr>
        <w:t>38% de femmes se retrouvent dans des besoins non satisfaits en matière de planification familiale. Même s’il y a une carence de prestataires qualifiés pour promouvoir les méthodes de longue durée, il y a aussi d’autres problèmes qui méritent d’être adressés. Entre autres problèmes, il s’agit de rumeurs liées à la PF, la gestion des effets secondaires, la non-implication du conjoint ou du moins le blocage de celui-ci, les messages qui ne sont pas adaptés et qui ne font pas apparaitre l’impact positif de la PF sur le bien-être des couples.</w:t>
      </w:r>
    </w:p>
    <w:p w14:paraId="6F904B16" w14:textId="77777777" w:rsidR="00D73BEF" w:rsidRPr="00D73BEF" w:rsidRDefault="00D73BEF" w:rsidP="00D73BEF">
      <w:pPr>
        <w:jc w:val="both"/>
        <w:rPr>
          <w:sz w:val="24"/>
          <w:szCs w:val="24"/>
        </w:rPr>
      </w:pPr>
      <w:r w:rsidRPr="00D73BEF">
        <w:rPr>
          <w:sz w:val="24"/>
          <w:szCs w:val="24"/>
        </w:rPr>
        <w:t>Fort de ce constat, le MSPP, appuyé par le Fonds des Nations Unies pour la Population, désire recruter un/e consultant/ qui constituera son équipe de travail ayant les compétences suivantes :</w:t>
      </w:r>
    </w:p>
    <w:p w14:paraId="0D9D7F36" w14:textId="77777777" w:rsidR="00D73BEF" w:rsidRPr="00D73BEF" w:rsidRDefault="00D73BEF" w:rsidP="00D73BEF">
      <w:pPr>
        <w:pStyle w:val="ListParagraph"/>
        <w:numPr>
          <w:ilvl w:val="0"/>
          <w:numId w:val="26"/>
        </w:numPr>
        <w:jc w:val="both"/>
        <w:rPr>
          <w:sz w:val="24"/>
          <w:szCs w:val="24"/>
        </w:rPr>
      </w:pPr>
      <w:r w:rsidRPr="00D73BEF">
        <w:rPr>
          <w:sz w:val="24"/>
          <w:szCs w:val="24"/>
        </w:rPr>
        <w:t>Capacité de concevoir des Messages d’impact positif</w:t>
      </w:r>
    </w:p>
    <w:p w14:paraId="6E25E39A" w14:textId="77777777" w:rsidR="00D73BEF" w:rsidRPr="00D73BEF" w:rsidRDefault="00D73BEF" w:rsidP="00D73BEF">
      <w:pPr>
        <w:pStyle w:val="ListParagraph"/>
        <w:numPr>
          <w:ilvl w:val="0"/>
          <w:numId w:val="26"/>
        </w:numPr>
        <w:jc w:val="both"/>
        <w:rPr>
          <w:sz w:val="24"/>
          <w:szCs w:val="24"/>
        </w:rPr>
      </w:pPr>
      <w:r w:rsidRPr="00D73BEF">
        <w:rPr>
          <w:sz w:val="24"/>
          <w:szCs w:val="24"/>
        </w:rPr>
        <w:t>Capacité en communication pour le changement de comportement (CCC)</w:t>
      </w:r>
    </w:p>
    <w:p w14:paraId="3E99727F" w14:textId="77777777" w:rsidR="00D73BEF" w:rsidRPr="00D73BEF" w:rsidRDefault="00D73BEF" w:rsidP="00D73BEF">
      <w:pPr>
        <w:pStyle w:val="ListParagraph"/>
        <w:numPr>
          <w:ilvl w:val="0"/>
          <w:numId w:val="26"/>
        </w:numPr>
        <w:jc w:val="both"/>
        <w:rPr>
          <w:sz w:val="24"/>
          <w:szCs w:val="24"/>
        </w:rPr>
      </w:pPr>
      <w:r w:rsidRPr="00D73BEF">
        <w:rPr>
          <w:sz w:val="24"/>
          <w:szCs w:val="24"/>
        </w:rPr>
        <w:t>Capacite de faire une analyse situationnelle de laquelle découlerait le profil des antagonistes pour apporter des messages aux adolescent/es et jeunes</w:t>
      </w:r>
    </w:p>
    <w:p w14:paraId="1FCA4D2D" w14:textId="77777777" w:rsidR="00D73BEF" w:rsidRPr="00D73BEF" w:rsidRDefault="00D73BEF" w:rsidP="00D73BEF">
      <w:pPr>
        <w:pStyle w:val="ListParagraph"/>
        <w:numPr>
          <w:ilvl w:val="0"/>
          <w:numId w:val="26"/>
        </w:numPr>
        <w:jc w:val="both"/>
        <w:rPr>
          <w:sz w:val="24"/>
          <w:szCs w:val="24"/>
        </w:rPr>
      </w:pPr>
      <w:r w:rsidRPr="00D73BEF">
        <w:rPr>
          <w:sz w:val="24"/>
          <w:szCs w:val="24"/>
        </w:rPr>
        <w:t>Capacité en production des trois premiers épisodes d’une éventuelle mini-série ou feuilleton audio-visuel basée sur la réalité de l’analyse situationnelle.</w:t>
      </w:r>
    </w:p>
    <w:p w14:paraId="2EFF856D" w14:textId="77777777" w:rsidR="00D73BEF" w:rsidRPr="00D73BEF" w:rsidRDefault="00D73BEF" w:rsidP="00D73BEF">
      <w:pPr>
        <w:jc w:val="both"/>
        <w:rPr>
          <w:sz w:val="24"/>
          <w:szCs w:val="24"/>
        </w:rPr>
      </w:pPr>
    </w:p>
    <w:p w14:paraId="1BAE646B" w14:textId="77777777" w:rsidR="00D73BEF" w:rsidRPr="00D73BEF" w:rsidRDefault="00D73BEF" w:rsidP="00D73BEF">
      <w:pPr>
        <w:jc w:val="both"/>
        <w:rPr>
          <w:sz w:val="24"/>
          <w:szCs w:val="24"/>
        </w:rPr>
      </w:pPr>
      <w:r w:rsidRPr="00D73BEF">
        <w:rPr>
          <w:sz w:val="24"/>
          <w:szCs w:val="24"/>
        </w:rPr>
        <w:lastRenderedPageBreak/>
        <w:t>Ce travail va se dérouler sous le leadership de la DSF (MSPP) appuyé par l’UNFPA.</w:t>
      </w:r>
    </w:p>
    <w:p w14:paraId="0CC8BB82" w14:textId="1E42780E" w:rsidR="002033A5" w:rsidRPr="002033A5" w:rsidRDefault="002033A5" w:rsidP="002033A5">
      <w:pPr>
        <w:jc w:val="both"/>
        <w:rPr>
          <w:sz w:val="24"/>
          <w:szCs w:val="24"/>
        </w:rPr>
      </w:pPr>
    </w:p>
    <w:p w14:paraId="6AE08C11" w14:textId="77777777" w:rsidR="00071BAE" w:rsidRPr="002033A5" w:rsidRDefault="00071BAE" w:rsidP="00071BAE">
      <w:pPr>
        <w:jc w:val="both"/>
        <w:rPr>
          <w:sz w:val="24"/>
          <w:szCs w:val="24"/>
        </w:rPr>
      </w:pPr>
    </w:p>
    <w:p w14:paraId="436A5D10" w14:textId="77777777" w:rsidR="00071BAE" w:rsidRPr="002033A5" w:rsidRDefault="00071BAE" w:rsidP="00071BAE">
      <w:pPr>
        <w:rPr>
          <w:sz w:val="24"/>
          <w:szCs w:val="24"/>
        </w:rPr>
      </w:pPr>
      <w:r w:rsidRPr="002033A5">
        <w:rPr>
          <w:b/>
          <w:sz w:val="24"/>
          <w:szCs w:val="24"/>
        </w:rPr>
        <w:t>II-. OBJECTIFS</w:t>
      </w:r>
    </w:p>
    <w:p w14:paraId="62811670" w14:textId="77777777" w:rsidR="00071BAE" w:rsidRPr="002033A5" w:rsidRDefault="00071BAE" w:rsidP="00071BAE">
      <w:pPr>
        <w:jc w:val="both"/>
        <w:rPr>
          <w:b/>
          <w:sz w:val="24"/>
          <w:szCs w:val="24"/>
        </w:rPr>
      </w:pPr>
    </w:p>
    <w:p w14:paraId="78B78987" w14:textId="0392E47C" w:rsidR="00D73BEF" w:rsidRPr="00D73BEF" w:rsidRDefault="00D73BEF" w:rsidP="00D73BEF">
      <w:pPr>
        <w:contextualSpacing/>
        <w:jc w:val="both"/>
        <w:rPr>
          <w:sz w:val="24"/>
          <w:szCs w:val="24"/>
        </w:rPr>
      </w:pPr>
      <w:r w:rsidRPr="00D73BEF">
        <w:rPr>
          <w:sz w:val="24"/>
          <w:szCs w:val="24"/>
        </w:rPr>
        <w:t xml:space="preserve">La consultation va se dérouler en Haïti par une revue documentaire, les interviews avec les concernes de la planification familiale au niveau du pays incluant le secteur privé. Le/la consultant/e doit définir sa méthodologie de travail en organisant des interviews, des focus groupes et des ateliers de concertation, tout en incluant les adolescent/es et les jeunes qui constituent la cible prioritaire de la communication, en vue d’atteindre leur plein potentiel. Le/a consultant/e doit prendre en compte l’intégration du terrain. Les principales actions consistent a : </w:t>
      </w:r>
    </w:p>
    <w:p w14:paraId="3423EE0A" w14:textId="77777777" w:rsidR="00D73BEF" w:rsidRPr="00D73BEF" w:rsidRDefault="00D73BEF" w:rsidP="00D73BEF">
      <w:pPr>
        <w:pStyle w:val="ListParagraph"/>
        <w:numPr>
          <w:ilvl w:val="0"/>
          <w:numId w:val="27"/>
        </w:numPr>
        <w:contextualSpacing/>
        <w:jc w:val="both"/>
        <w:rPr>
          <w:sz w:val="24"/>
          <w:szCs w:val="24"/>
        </w:rPr>
      </w:pPr>
      <w:r w:rsidRPr="00D73BEF">
        <w:rPr>
          <w:sz w:val="24"/>
          <w:szCs w:val="24"/>
        </w:rPr>
        <w:t>Faire un résumé de revue de littérature des différents plans de communication.</w:t>
      </w:r>
    </w:p>
    <w:p w14:paraId="616FC1FC" w14:textId="77777777" w:rsidR="00D73BEF" w:rsidRPr="00D73BEF" w:rsidRDefault="00D73BEF" w:rsidP="00D73BEF">
      <w:pPr>
        <w:pStyle w:val="ListParagraph"/>
        <w:numPr>
          <w:ilvl w:val="0"/>
          <w:numId w:val="27"/>
        </w:numPr>
        <w:contextualSpacing/>
        <w:jc w:val="both"/>
        <w:rPr>
          <w:sz w:val="24"/>
          <w:szCs w:val="24"/>
        </w:rPr>
      </w:pPr>
      <w:r w:rsidRPr="00D73BEF">
        <w:rPr>
          <w:sz w:val="24"/>
          <w:szCs w:val="24"/>
        </w:rPr>
        <w:t>Faire une revue de documentaires audio-visuels existants.</w:t>
      </w:r>
    </w:p>
    <w:p w14:paraId="1771BDE9" w14:textId="77777777" w:rsidR="00D73BEF" w:rsidRPr="00D73BEF" w:rsidRDefault="00D73BEF" w:rsidP="00D73BEF">
      <w:pPr>
        <w:contextualSpacing/>
        <w:jc w:val="both"/>
        <w:rPr>
          <w:sz w:val="24"/>
          <w:szCs w:val="24"/>
        </w:rPr>
      </w:pPr>
    </w:p>
    <w:p w14:paraId="018F5390" w14:textId="77777777" w:rsidR="00D73BEF" w:rsidRPr="00D73BEF" w:rsidRDefault="00D73BEF" w:rsidP="00D73BEF">
      <w:pPr>
        <w:pStyle w:val="ListParagraph"/>
        <w:numPr>
          <w:ilvl w:val="0"/>
          <w:numId w:val="27"/>
        </w:numPr>
        <w:contextualSpacing/>
        <w:jc w:val="both"/>
        <w:rPr>
          <w:sz w:val="24"/>
          <w:szCs w:val="24"/>
        </w:rPr>
      </w:pPr>
      <w:r w:rsidRPr="00D73BEF">
        <w:rPr>
          <w:sz w:val="24"/>
          <w:szCs w:val="24"/>
        </w:rPr>
        <w:t>Produire un document d’analyse en fonction des trouvailles de terrain.</w:t>
      </w:r>
    </w:p>
    <w:p w14:paraId="72856C76" w14:textId="77777777" w:rsidR="00D73BEF" w:rsidRPr="00D73BEF" w:rsidRDefault="00D73BEF" w:rsidP="00D73BEF">
      <w:pPr>
        <w:contextualSpacing/>
        <w:jc w:val="both"/>
        <w:rPr>
          <w:sz w:val="24"/>
          <w:szCs w:val="24"/>
        </w:rPr>
      </w:pPr>
    </w:p>
    <w:p w14:paraId="35AAADB2" w14:textId="039EF112" w:rsidR="003F151A" w:rsidRDefault="00D73BEF" w:rsidP="00D73BEF">
      <w:pPr>
        <w:pStyle w:val="ListParagraph"/>
        <w:numPr>
          <w:ilvl w:val="0"/>
          <w:numId w:val="27"/>
        </w:numPr>
        <w:contextualSpacing/>
        <w:jc w:val="both"/>
        <w:rPr>
          <w:sz w:val="24"/>
          <w:szCs w:val="24"/>
        </w:rPr>
      </w:pPr>
      <w:r w:rsidRPr="00D73BEF">
        <w:rPr>
          <w:sz w:val="24"/>
          <w:szCs w:val="24"/>
        </w:rPr>
        <w:t>Produire le script des premiers épisodes d’une mini-série audio-visuel ciblant particulièrement les adolescent/es et jeunes</w:t>
      </w:r>
    </w:p>
    <w:p w14:paraId="415DCBED" w14:textId="77777777" w:rsidR="00D73BEF" w:rsidRPr="00D73BEF" w:rsidRDefault="00D73BEF" w:rsidP="00D73BEF">
      <w:pPr>
        <w:pStyle w:val="ListParagraph"/>
        <w:rPr>
          <w:sz w:val="24"/>
          <w:szCs w:val="24"/>
        </w:rPr>
      </w:pPr>
    </w:p>
    <w:p w14:paraId="46979C8E" w14:textId="77777777" w:rsidR="00D73BEF" w:rsidRPr="00D73BEF" w:rsidRDefault="00D73BEF" w:rsidP="00D73BEF">
      <w:pPr>
        <w:pStyle w:val="ListParagraph"/>
        <w:contextualSpacing/>
        <w:jc w:val="both"/>
        <w:rPr>
          <w:sz w:val="24"/>
          <w:szCs w:val="24"/>
        </w:rPr>
      </w:pPr>
    </w:p>
    <w:p w14:paraId="6FD6559C" w14:textId="3CE6A4CD" w:rsidR="003F151A" w:rsidRPr="002033A5" w:rsidRDefault="003F151A" w:rsidP="0088509F">
      <w:pPr>
        <w:ind w:left="720"/>
        <w:contextualSpacing/>
        <w:jc w:val="both"/>
        <w:rPr>
          <w:b/>
          <w:color w:val="0070C0"/>
          <w:sz w:val="24"/>
          <w:szCs w:val="24"/>
        </w:rPr>
      </w:pPr>
      <w:r w:rsidRPr="002033A5">
        <w:rPr>
          <w:b/>
          <w:color w:val="0070C0"/>
          <w:sz w:val="24"/>
          <w:szCs w:val="24"/>
        </w:rPr>
        <w:t>ANNEX</w:t>
      </w:r>
      <w:r w:rsidR="00D73BEF">
        <w:rPr>
          <w:b/>
          <w:color w:val="0070C0"/>
          <w:sz w:val="24"/>
          <w:szCs w:val="24"/>
        </w:rPr>
        <w:t>E</w:t>
      </w:r>
      <w:r w:rsidRPr="002033A5">
        <w:rPr>
          <w:b/>
          <w:color w:val="0070C0"/>
          <w:sz w:val="24"/>
          <w:szCs w:val="24"/>
        </w:rPr>
        <w:t xml:space="preserve"> 1 : Terme de </w:t>
      </w:r>
      <w:r w:rsidR="002033A5" w:rsidRPr="002033A5">
        <w:rPr>
          <w:b/>
          <w:color w:val="0070C0"/>
          <w:sz w:val="24"/>
          <w:szCs w:val="24"/>
        </w:rPr>
        <w:t>référence</w:t>
      </w:r>
    </w:p>
    <w:p w14:paraId="53982CBE" w14:textId="6C6BFDAA" w:rsidR="003F151A" w:rsidRPr="002033A5" w:rsidRDefault="003F151A" w:rsidP="0088509F">
      <w:pPr>
        <w:ind w:left="720"/>
        <w:contextualSpacing/>
        <w:jc w:val="both"/>
        <w:rPr>
          <w:b/>
          <w:color w:val="0070C0"/>
          <w:sz w:val="24"/>
          <w:szCs w:val="24"/>
        </w:rPr>
      </w:pPr>
    </w:p>
    <w:p w14:paraId="6902F516" w14:textId="77777777" w:rsidR="00F5442F" w:rsidRPr="002033A5" w:rsidRDefault="00F5442F" w:rsidP="00F5442F">
      <w:pPr>
        <w:suppressAutoHyphens/>
        <w:jc w:val="center"/>
        <w:rPr>
          <w:b/>
          <w:sz w:val="24"/>
          <w:szCs w:val="24"/>
        </w:rPr>
      </w:pPr>
      <w:bookmarkStart w:id="0" w:name="_Hlk491068525"/>
    </w:p>
    <w:bookmarkEnd w:id="0"/>
    <w:p w14:paraId="31813C30" w14:textId="77777777" w:rsidR="00F5442F" w:rsidRPr="002033A5" w:rsidRDefault="00F5442F" w:rsidP="00F5442F">
      <w:pPr>
        <w:rPr>
          <w:sz w:val="24"/>
          <w:szCs w:val="24"/>
        </w:rPr>
      </w:pPr>
    </w:p>
    <w:p w14:paraId="45EEC631" w14:textId="77777777" w:rsidR="00245983" w:rsidRPr="002033A5" w:rsidRDefault="00245983">
      <w:pPr>
        <w:jc w:val="both"/>
        <w:rPr>
          <w:sz w:val="24"/>
          <w:szCs w:val="24"/>
        </w:rPr>
      </w:pPr>
    </w:p>
    <w:p w14:paraId="74362DF3" w14:textId="77777777" w:rsidR="00245983" w:rsidRPr="002033A5" w:rsidRDefault="00872FCA">
      <w:pPr>
        <w:pStyle w:val="ListParagraph"/>
        <w:numPr>
          <w:ilvl w:val="0"/>
          <w:numId w:val="3"/>
        </w:numPr>
        <w:jc w:val="both"/>
        <w:rPr>
          <w:sz w:val="24"/>
          <w:szCs w:val="24"/>
        </w:rPr>
      </w:pPr>
      <w:r w:rsidRPr="002033A5">
        <w:rPr>
          <w:b/>
          <w:sz w:val="24"/>
          <w:szCs w:val="24"/>
        </w:rPr>
        <w:t>À propos de l’UNFPA</w:t>
      </w:r>
    </w:p>
    <w:p w14:paraId="5D8DAF8C" w14:textId="77777777" w:rsidR="00245983" w:rsidRPr="002033A5" w:rsidRDefault="00245983">
      <w:pPr>
        <w:pStyle w:val="letter"/>
        <w:jc w:val="both"/>
        <w:rPr>
          <w:szCs w:val="24"/>
        </w:rPr>
      </w:pPr>
    </w:p>
    <w:p w14:paraId="1F9479D5" w14:textId="77777777" w:rsidR="00245983" w:rsidRPr="002033A5" w:rsidRDefault="00872FCA">
      <w:pPr>
        <w:pStyle w:val="letter"/>
        <w:jc w:val="both"/>
        <w:rPr>
          <w:szCs w:val="24"/>
        </w:rPr>
      </w:pPr>
      <w:r w:rsidRPr="002033A5">
        <w:rPr>
          <w:szCs w:val="24"/>
        </w:rPr>
        <w:t xml:space="preserve">L’UNFPA, le Fonds des Nations Unies pour la </w:t>
      </w:r>
      <w:r w:rsidR="00C035CF" w:rsidRPr="002033A5">
        <w:rPr>
          <w:szCs w:val="24"/>
        </w:rPr>
        <w:t>Po</w:t>
      </w:r>
      <w:r w:rsidRPr="002033A5">
        <w:rPr>
          <w:szCs w:val="24"/>
        </w:rPr>
        <w:t xml:space="preserve">pulation, est une </w:t>
      </w:r>
      <w:r w:rsidR="00DC6D85" w:rsidRPr="002033A5">
        <w:rPr>
          <w:szCs w:val="24"/>
        </w:rPr>
        <w:t xml:space="preserve">Agence </w:t>
      </w:r>
      <w:r w:rsidRPr="002033A5">
        <w:rPr>
          <w:szCs w:val="24"/>
        </w:rPr>
        <w:t xml:space="preserve">internationale de développement </w:t>
      </w:r>
      <w:r w:rsidRPr="002033A5">
        <w:rPr>
          <w:szCs w:val="24"/>
          <w:shd w:val="clear" w:color="auto" w:fill="FFFFFF"/>
        </w:rPr>
        <w:t>dont le but est de réaliser un monde où chaque grossesse est désirée, chaque accouchement est sans danger, et le potentiel de chaque jeune est accompli.</w:t>
      </w:r>
      <w:r w:rsidRPr="002033A5">
        <w:rPr>
          <w:szCs w:val="24"/>
        </w:rPr>
        <w:t xml:space="preserve">   </w:t>
      </w:r>
    </w:p>
    <w:p w14:paraId="1E12B068" w14:textId="77777777" w:rsidR="00245983" w:rsidRPr="002033A5" w:rsidRDefault="00245983">
      <w:pPr>
        <w:pStyle w:val="letter"/>
        <w:jc w:val="both"/>
        <w:rPr>
          <w:szCs w:val="24"/>
        </w:rPr>
      </w:pPr>
    </w:p>
    <w:p w14:paraId="4E0638F5" w14:textId="77777777" w:rsidR="00245983" w:rsidRPr="002033A5" w:rsidRDefault="00872FCA">
      <w:pPr>
        <w:pStyle w:val="letter"/>
        <w:jc w:val="both"/>
        <w:rPr>
          <w:szCs w:val="24"/>
        </w:rPr>
      </w:pPr>
      <w:r w:rsidRPr="002033A5">
        <w:rPr>
          <w:szCs w:val="24"/>
        </w:rPr>
        <w:t xml:space="preserve">L’UNFPA est la principale </w:t>
      </w:r>
      <w:r w:rsidR="00DC6D85" w:rsidRPr="002033A5">
        <w:rPr>
          <w:szCs w:val="24"/>
        </w:rPr>
        <w:t xml:space="preserve">Agence </w:t>
      </w:r>
      <w:r w:rsidRPr="002033A5">
        <w:rPr>
          <w:szCs w:val="24"/>
        </w:rPr>
        <w:t xml:space="preserve">des Nations Unies qui </w:t>
      </w:r>
      <w:r w:rsidRPr="002033A5">
        <w:rPr>
          <w:szCs w:val="24"/>
          <w:shd w:val="clear" w:color="auto" w:fill="FFFFFF"/>
        </w:rPr>
        <w:t>permet aux femmes et aux jeunes d’avoir une vie sexuelle et reproductive saine.</w:t>
      </w:r>
      <w:r w:rsidRPr="002033A5">
        <w:rPr>
          <w:szCs w:val="24"/>
        </w:rPr>
        <w:t xml:space="preserve"> Pour en savoir plus au sujet de l’UNFPA, veuillez visiter : </w:t>
      </w:r>
      <w:hyperlink r:id="rId10">
        <w:r w:rsidRPr="002033A5">
          <w:rPr>
            <w:rStyle w:val="InternetLink"/>
            <w:color w:val="0070C0"/>
            <w:szCs w:val="24"/>
          </w:rPr>
          <w:t>À propos de l’UNFPA.</w:t>
        </w:r>
      </w:hyperlink>
    </w:p>
    <w:p w14:paraId="5FC3EB2A" w14:textId="77777777" w:rsidR="00245983" w:rsidRPr="002033A5" w:rsidRDefault="00245983">
      <w:pPr>
        <w:pStyle w:val="letter"/>
        <w:jc w:val="both"/>
        <w:rPr>
          <w:b/>
          <w:szCs w:val="24"/>
          <w:u w:val="single"/>
        </w:rPr>
      </w:pPr>
    </w:p>
    <w:p w14:paraId="7A219421" w14:textId="77777777" w:rsidR="00245983" w:rsidRPr="002033A5" w:rsidRDefault="00872FCA">
      <w:pPr>
        <w:pStyle w:val="letter"/>
        <w:jc w:val="both"/>
        <w:rPr>
          <w:szCs w:val="24"/>
        </w:rPr>
      </w:pPr>
      <w:r w:rsidRPr="002033A5">
        <w:rPr>
          <w:b/>
          <w:szCs w:val="24"/>
        </w:rPr>
        <w:t>Objectif :</w:t>
      </w:r>
    </w:p>
    <w:p w14:paraId="753CA913" w14:textId="77777777" w:rsidR="00245983" w:rsidRPr="002033A5" w:rsidRDefault="00245983">
      <w:pPr>
        <w:pStyle w:val="letter"/>
        <w:jc w:val="both"/>
        <w:rPr>
          <w:szCs w:val="24"/>
        </w:rPr>
      </w:pPr>
    </w:p>
    <w:p w14:paraId="332F3E1B" w14:textId="77777777" w:rsidR="00245983" w:rsidRPr="002033A5" w:rsidRDefault="00872FCA">
      <w:pPr>
        <w:pStyle w:val="letter"/>
        <w:jc w:val="both"/>
        <w:rPr>
          <w:szCs w:val="24"/>
        </w:rPr>
      </w:pPr>
      <w:r w:rsidRPr="002033A5">
        <w:rPr>
          <w:szCs w:val="24"/>
        </w:rPr>
        <w:t xml:space="preserve">L’objectif de cette </w:t>
      </w:r>
      <w:r w:rsidR="00DC6D85" w:rsidRPr="002033A5">
        <w:rPr>
          <w:szCs w:val="24"/>
        </w:rPr>
        <w:t>Demande de Cotation est d`identifier</w:t>
      </w:r>
      <w:r w:rsidRPr="002033A5">
        <w:rPr>
          <w:szCs w:val="24"/>
        </w:rPr>
        <w:t xml:space="preserve"> un fournisseur en mesure de fournir à l’UNFPA les produits mentionnés ci-dessus. Le vendeur sélectionné sera tenu de fournir ces produits sur la base de bons de commande spécifiques envoyés au vendeur. </w:t>
      </w:r>
    </w:p>
    <w:p w14:paraId="366E638E" w14:textId="77777777" w:rsidR="00245983" w:rsidRPr="002033A5" w:rsidRDefault="00245983">
      <w:pPr>
        <w:pStyle w:val="letter"/>
        <w:jc w:val="both"/>
        <w:rPr>
          <w:szCs w:val="24"/>
        </w:rPr>
      </w:pPr>
    </w:p>
    <w:p w14:paraId="43EE1EF2" w14:textId="77777777" w:rsidR="00245983" w:rsidRPr="002033A5" w:rsidRDefault="00872FCA">
      <w:pPr>
        <w:pStyle w:val="ListParagraph"/>
        <w:numPr>
          <w:ilvl w:val="0"/>
          <w:numId w:val="3"/>
        </w:numPr>
        <w:jc w:val="both"/>
        <w:rPr>
          <w:b/>
          <w:sz w:val="24"/>
          <w:szCs w:val="24"/>
        </w:rPr>
      </w:pPr>
      <w:r w:rsidRPr="002033A5">
        <w:rPr>
          <w:b/>
          <w:sz w:val="24"/>
          <w:szCs w:val="24"/>
        </w:rPr>
        <w:t xml:space="preserve">Questions </w:t>
      </w:r>
    </w:p>
    <w:p w14:paraId="2125F405" w14:textId="77777777" w:rsidR="00245983" w:rsidRPr="002033A5" w:rsidRDefault="00872FCA">
      <w:pPr>
        <w:pStyle w:val="letter"/>
        <w:jc w:val="both"/>
        <w:rPr>
          <w:szCs w:val="24"/>
        </w:rPr>
      </w:pPr>
      <w:r w:rsidRPr="002033A5">
        <w:rPr>
          <w:szCs w:val="24"/>
        </w:rPr>
        <w:t>Les demandes de clarification doivent être communiquées par écrit au contact ci-dessous :</w:t>
      </w:r>
    </w:p>
    <w:p w14:paraId="480F2FF2" w14:textId="77777777" w:rsidR="00245983" w:rsidRPr="002033A5" w:rsidRDefault="00245983">
      <w:pPr>
        <w:pStyle w:val="letter"/>
        <w:jc w:val="both"/>
        <w:rPr>
          <w:szCs w:val="24"/>
          <w:u w:val="single"/>
        </w:rPr>
      </w:pPr>
    </w:p>
    <w:tbl>
      <w:tblPr>
        <w:tblW w:w="909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09"/>
        <w:gridCol w:w="5583"/>
      </w:tblGrid>
      <w:tr w:rsidR="00245983" w:rsidRPr="002033A5" w14:paraId="7C8F5AC6" w14:textId="77777777">
        <w:trPr>
          <w:jc w:val="center"/>
        </w:trPr>
        <w:tc>
          <w:tcPr>
            <w:tcW w:w="3509"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14:paraId="09AF1F60" w14:textId="77777777" w:rsidR="00245983" w:rsidRPr="002033A5" w:rsidRDefault="00872FCA">
            <w:pPr>
              <w:pStyle w:val="letter"/>
              <w:jc w:val="both"/>
              <w:rPr>
                <w:szCs w:val="24"/>
              </w:rPr>
            </w:pPr>
            <w:r w:rsidRPr="002033A5">
              <w:rPr>
                <w:rFonts w:eastAsia="Calibri"/>
                <w:szCs w:val="24"/>
              </w:rPr>
              <w:t>Nom du contact de l’UNFPA :</w:t>
            </w:r>
          </w:p>
        </w:tc>
        <w:tc>
          <w:tcPr>
            <w:tcW w:w="5582"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14:paraId="1E534BCB" w14:textId="4A902AE2" w:rsidR="00245983" w:rsidRPr="002033A5" w:rsidRDefault="00830540">
            <w:pPr>
              <w:pStyle w:val="letter"/>
              <w:jc w:val="both"/>
              <w:rPr>
                <w:rFonts w:eastAsia="Calibri"/>
                <w:i/>
                <w:szCs w:val="24"/>
              </w:rPr>
            </w:pPr>
            <w:r>
              <w:rPr>
                <w:rFonts w:eastAsia="Calibri"/>
                <w:i/>
                <w:szCs w:val="24"/>
              </w:rPr>
              <w:t>Stephania Antoine GILLES</w:t>
            </w:r>
          </w:p>
        </w:tc>
      </w:tr>
      <w:tr w:rsidR="00245983" w:rsidRPr="002033A5" w14:paraId="03DB3164" w14:textId="77777777">
        <w:trPr>
          <w:jc w:val="center"/>
        </w:trPr>
        <w:tc>
          <w:tcPr>
            <w:tcW w:w="350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14:paraId="229A4854" w14:textId="77777777" w:rsidR="00245983" w:rsidRPr="002033A5" w:rsidRDefault="00872FCA">
            <w:pPr>
              <w:pStyle w:val="letter"/>
              <w:jc w:val="both"/>
              <w:rPr>
                <w:szCs w:val="24"/>
              </w:rPr>
            </w:pPr>
            <w:r w:rsidRPr="002033A5">
              <w:rPr>
                <w:rFonts w:eastAsia="Calibri"/>
                <w:szCs w:val="24"/>
              </w:rPr>
              <w:t>No. de tél. :</w:t>
            </w:r>
          </w:p>
        </w:tc>
        <w:tc>
          <w:tcPr>
            <w:tcW w:w="558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14:paraId="13D595A9" w14:textId="396F90C5" w:rsidR="00245983" w:rsidRPr="002033A5" w:rsidRDefault="004D3AD4" w:rsidP="004D3AD4">
            <w:pPr>
              <w:pStyle w:val="letter"/>
              <w:jc w:val="both"/>
              <w:rPr>
                <w:rFonts w:eastAsia="Calibri"/>
                <w:i/>
                <w:szCs w:val="24"/>
              </w:rPr>
            </w:pPr>
            <w:r w:rsidRPr="002033A5">
              <w:rPr>
                <w:rFonts w:eastAsia="Calibri"/>
                <w:i/>
                <w:szCs w:val="24"/>
              </w:rPr>
              <w:t>3 701 434</w:t>
            </w:r>
            <w:r w:rsidR="00830540">
              <w:rPr>
                <w:rFonts w:eastAsia="Calibri"/>
                <w:i/>
                <w:szCs w:val="24"/>
              </w:rPr>
              <w:t>1</w:t>
            </w:r>
          </w:p>
        </w:tc>
      </w:tr>
      <w:tr w:rsidR="00245983" w:rsidRPr="002033A5" w14:paraId="144404B6" w14:textId="77777777">
        <w:trPr>
          <w:jc w:val="center"/>
        </w:trPr>
        <w:tc>
          <w:tcPr>
            <w:tcW w:w="350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14:paraId="0B027743" w14:textId="77777777" w:rsidR="00245983" w:rsidRPr="002033A5" w:rsidRDefault="00872FCA">
            <w:pPr>
              <w:pStyle w:val="letter"/>
              <w:jc w:val="both"/>
              <w:rPr>
                <w:szCs w:val="24"/>
              </w:rPr>
            </w:pPr>
            <w:r w:rsidRPr="002033A5">
              <w:rPr>
                <w:rFonts w:eastAsia="Calibri"/>
                <w:szCs w:val="24"/>
              </w:rPr>
              <w:t>No. de fax :</w:t>
            </w:r>
          </w:p>
        </w:tc>
        <w:tc>
          <w:tcPr>
            <w:tcW w:w="558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14:paraId="78A60613" w14:textId="77777777" w:rsidR="00245983" w:rsidRPr="002033A5" w:rsidRDefault="004D3AD4">
            <w:pPr>
              <w:pStyle w:val="letter"/>
              <w:jc w:val="both"/>
              <w:rPr>
                <w:rFonts w:eastAsia="Calibri"/>
                <w:i/>
                <w:szCs w:val="24"/>
              </w:rPr>
            </w:pPr>
            <w:r w:rsidRPr="002033A5">
              <w:rPr>
                <w:rFonts w:eastAsia="Calibri"/>
                <w:i/>
                <w:szCs w:val="24"/>
              </w:rPr>
              <w:t>N/A</w:t>
            </w:r>
          </w:p>
        </w:tc>
      </w:tr>
      <w:tr w:rsidR="00245983" w:rsidRPr="002033A5" w14:paraId="050BDA89" w14:textId="77777777">
        <w:trPr>
          <w:jc w:val="center"/>
        </w:trPr>
        <w:tc>
          <w:tcPr>
            <w:tcW w:w="350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14:paraId="10756CB2" w14:textId="77777777" w:rsidR="00245983" w:rsidRPr="002033A5" w:rsidRDefault="00872FCA">
            <w:pPr>
              <w:pStyle w:val="letter"/>
              <w:jc w:val="both"/>
              <w:rPr>
                <w:szCs w:val="24"/>
              </w:rPr>
            </w:pPr>
            <w:r w:rsidRPr="002033A5">
              <w:rPr>
                <w:rFonts w:eastAsia="Calibri"/>
                <w:szCs w:val="24"/>
              </w:rPr>
              <w:t>Adresse e-mail du contact :</w:t>
            </w:r>
          </w:p>
        </w:tc>
        <w:tc>
          <w:tcPr>
            <w:tcW w:w="5582"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14:paraId="03D7B372" w14:textId="6A3C7C00" w:rsidR="00245983" w:rsidRPr="002033A5" w:rsidRDefault="00830540">
            <w:pPr>
              <w:pStyle w:val="letter"/>
              <w:jc w:val="both"/>
              <w:rPr>
                <w:rFonts w:eastAsia="Calibri"/>
                <w:i/>
                <w:szCs w:val="24"/>
              </w:rPr>
            </w:pPr>
            <w:r>
              <w:rPr>
                <w:rFonts w:eastAsia="Calibri"/>
                <w:i/>
                <w:szCs w:val="24"/>
              </w:rPr>
              <w:t>gilles@unfpa.org</w:t>
            </w:r>
          </w:p>
        </w:tc>
      </w:tr>
    </w:tbl>
    <w:p w14:paraId="32CB5D23" w14:textId="77777777" w:rsidR="00245983" w:rsidRPr="002033A5" w:rsidRDefault="00245983">
      <w:pPr>
        <w:pStyle w:val="letter"/>
        <w:jc w:val="both"/>
        <w:rPr>
          <w:szCs w:val="24"/>
          <w:u w:val="single"/>
        </w:rPr>
      </w:pPr>
    </w:p>
    <w:p w14:paraId="3EC0D75D" w14:textId="177A99B9" w:rsidR="00245983" w:rsidRPr="002033A5" w:rsidRDefault="00C035CF">
      <w:pPr>
        <w:tabs>
          <w:tab w:val="left" w:pos="6630"/>
          <w:tab w:val="left" w:pos="9120"/>
        </w:tabs>
        <w:jc w:val="both"/>
        <w:rPr>
          <w:sz w:val="24"/>
          <w:szCs w:val="24"/>
        </w:rPr>
      </w:pPr>
      <w:r w:rsidRPr="002033A5">
        <w:rPr>
          <w:rFonts w:eastAsia="Times"/>
          <w:sz w:val="24"/>
          <w:szCs w:val="24"/>
        </w:rPr>
        <w:t>La</w:t>
      </w:r>
      <w:r w:rsidR="00DC6D85" w:rsidRPr="002033A5">
        <w:rPr>
          <w:rFonts w:eastAsia="Times"/>
          <w:sz w:val="24"/>
          <w:szCs w:val="24"/>
        </w:rPr>
        <w:t xml:space="preserve"> date limite</w:t>
      </w:r>
      <w:r w:rsidR="00872FCA" w:rsidRPr="002033A5">
        <w:rPr>
          <w:rFonts w:eastAsia="Times"/>
          <w:sz w:val="24"/>
          <w:szCs w:val="24"/>
        </w:rPr>
        <w:t xml:space="preserve"> pour envoyer des questions est fixé</w:t>
      </w:r>
      <w:r w:rsidR="00DC6D85" w:rsidRPr="002033A5">
        <w:rPr>
          <w:rFonts w:eastAsia="Times"/>
          <w:sz w:val="24"/>
          <w:szCs w:val="24"/>
        </w:rPr>
        <w:t>e</w:t>
      </w:r>
      <w:r w:rsidR="00872FCA" w:rsidRPr="002033A5">
        <w:rPr>
          <w:rFonts w:eastAsia="Times"/>
          <w:sz w:val="24"/>
          <w:szCs w:val="24"/>
        </w:rPr>
        <w:t xml:space="preserve"> </w:t>
      </w:r>
      <w:r w:rsidR="00E3730E" w:rsidRPr="002033A5">
        <w:rPr>
          <w:rFonts w:eastAsia="Times"/>
          <w:sz w:val="24"/>
          <w:szCs w:val="24"/>
        </w:rPr>
        <w:t>au</w:t>
      </w:r>
      <w:r w:rsidR="00E3730E" w:rsidRPr="002033A5">
        <w:rPr>
          <w:rFonts w:eastAsia="Times"/>
          <w:b/>
          <w:sz w:val="24"/>
          <w:szCs w:val="24"/>
        </w:rPr>
        <w:t xml:space="preserve"> </w:t>
      </w:r>
      <w:r w:rsidR="00A15083">
        <w:rPr>
          <w:rFonts w:eastAsia="Times"/>
          <w:bCs/>
          <w:sz w:val="24"/>
          <w:szCs w:val="24"/>
        </w:rPr>
        <w:t>14 septembre</w:t>
      </w:r>
      <w:r w:rsidR="00763424" w:rsidRPr="00763424">
        <w:rPr>
          <w:rFonts w:eastAsia="Times"/>
          <w:bCs/>
          <w:sz w:val="24"/>
          <w:szCs w:val="24"/>
        </w:rPr>
        <w:t xml:space="preserve"> 2023</w:t>
      </w:r>
      <w:r w:rsidR="00872FCA" w:rsidRPr="00763424">
        <w:rPr>
          <w:rFonts w:eastAsia="Times"/>
          <w:sz w:val="24"/>
          <w:szCs w:val="24"/>
        </w:rPr>
        <w:t>.</w:t>
      </w:r>
      <w:r w:rsidR="00872FCA" w:rsidRPr="002033A5">
        <w:rPr>
          <w:rFonts w:eastAsia="Times"/>
          <w:sz w:val="24"/>
          <w:szCs w:val="24"/>
        </w:rPr>
        <w:t xml:space="preserve"> Les réponses aux questions seront communiquées par écrit à toutes les parties le plus rapidement possible après ce délai.</w:t>
      </w:r>
    </w:p>
    <w:p w14:paraId="0712E7DA" w14:textId="77777777" w:rsidR="00245983" w:rsidRPr="002033A5" w:rsidRDefault="00245983">
      <w:pPr>
        <w:pStyle w:val="letter"/>
        <w:jc w:val="both"/>
        <w:rPr>
          <w:szCs w:val="24"/>
          <w:u w:val="single"/>
        </w:rPr>
      </w:pPr>
    </w:p>
    <w:p w14:paraId="7B553A3C" w14:textId="77777777" w:rsidR="00245983" w:rsidRPr="002033A5" w:rsidRDefault="00245983">
      <w:pPr>
        <w:pStyle w:val="letter"/>
        <w:jc w:val="both"/>
        <w:rPr>
          <w:szCs w:val="24"/>
          <w:u w:val="single"/>
        </w:rPr>
      </w:pPr>
    </w:p>
    <w:p w14:paraId="0FA7F7CD" w14:textId="77777777" w:rsidR="00245983" w:rsidRPr="002033A5" w:rsidRDefault="00872FCA">
      <w:pPr>
        <w:pStyle w:val="ListParagraph"/>
        <w:numPr>
          <w:ilvl w:val="0"/>
          <w:numId w:val="3"/>
        </w:numPr>
        <w:jc w:val="both"/>
        <w:rPr>
          <w:b/>
          <w:sz w:val="24"/>
          <w:szCs w:val="24"/>
        </w:rPr>
      </w:pPr>
      <w:r w:rsidRPr="002033A5">
        <w:rPr>
          <w:b/>
          <w:sz w:val="24"/>
          <w:szCs w:val="24"/>
        </w:rPr>
        <w:t xml:space="preserve">Contenu </w:t>
      </w:r>
      <w:r w:rsidR="00DC6D85" w:rsidRPr="002033A5">
        <w:rPr>
          <w:b/>
          <w:sz w:val="24"/>
          <w:szCs w:val="24"/>
        </w:rPr>
        <w:t>de</w:t>
      </w:r>
      <w:r w:rsidR="00950066" w:rsidRPr="002033A5">
        <w:rPr>
          <w:b/>
          <w:sz w:val="24"/>
          <w:szCs w:val="24"/>
        </w:rPr>
        <w:t>s</w:t>
      </w:r>
      <w:r w:rsidR="00DC6D85" w:rsidRPr="002033A5">
        <w:rPr>
          <w:b/>
          <w:sz w:val="24"/>
          <w:szCs w:val="24"/>
        </w:rPr>
        <w:t xml:space="preserve"> Cotation</w:t>
      </w:r>
      <w:r w:rsidR="00950066" w:rsidRPr="002033A5">
        <w:rPr>
          <w:b/>
          <w:sz w:val="24"/>
          <w:szCs w:val="24"/>
        </w:rPr>
        <w:t>s</w:t>
      </w:r>
    </w:p>
    <w:p w14:paraId="39DA2B72" w14:textId="77777777" w:rsidR="00245983" w:rsidRPr="002033A5" w:rsidRDefault="00872FCA">
      <w:pPr>
        <w:pStyle w:val="letter"/>
        <w:jc w:val="both"/>
        <w:rPr>
          <w:szCs w:val="24"/>
        </w:rPr>
      </w:pPr>
      <w:r w:rsidRPr="002033A5">
        <w:rPr>
          <w:szCs w:val="24"/>
        </w:rPr>
        <w:t xml:space="preserve">Les </w:t>
      </w:r>
      <w:r w:rsidR="00950066" w:rsidRPr="002033A5">
        <w:rPr>
          <w:szCs w:val="24"/>
        </w:rPr>
        <w:t xml:space="preserve">Cotations </w:t>
      </w:r>
      <w:r w:rsidRPr="002033A5">
        <w:rPr>
          <w:szCs w:val="24"/>
        </w:rPr>
        <w:t>doivent être envoyé</w:t>
      </w:r>
      <w:r w:rsidR="00950066" w:rsidRPr="002033A5">
        <w:rPr>
          <w:szCs w:val="24"/>
        </w:rPr>
        <w:t>e</w:t>
      </w:r>
      <w:r w:rsidRPr="002033A5">
        <w:rPr>
          <w:szCs w:val="24"/>
        </w:rPr>
        <w:t xml:space="preserve">s en un seul e-mail, si la taille le permet. Les </w:t>
      </w:r>
      <w:r w:rsidR="00950066" w:rsidRPr="002033A5">
        <w:rPr>
          <w:szCs w:val="24"/>
        </w:rPr>
        <w:t xml:space="preserve">cotations  </w:t>
      </w:r>
      <w:r w:rsidRPr="002033A5">
        <w:rPr>
          <w:szCs w:val="24"/>
        </w:rPr>
        <w:t>doivent contenir :</w:t>
      </w:r>
    </w:p>
    <w:p w14:paraId="01C18232" w14:textId="77777777" w:rsidR="00245983" w:rsidRPr="002033A5" w:rsidRDefault="00245983">
      <w:pPr>
        <w:tabs>
          <w:tab w:val="left" w:pos="6630"/>
          <w:tab w:val="left" w:pos="9120"/>
        </w:tabs>
        <w:jc w:val="both"/>
        <w:rPr>
          <w:rFonts w:eastAsia="Times"/>
          <w:sz w:val="24"/>
          <w:szCs w:val="24"/>
        </w:rPr>
      </w:pPr>
    </w:p>
    <w:p w14:paraId="77AC5A1A" w14:textId="77777777" w:rsidR="00245983" w:rsidRPr="002033A5" w:rsidRDefault="00872FCA">
      <w:pPr>
        <w:pStyle w:val="ListParagraph"/>
        <w:numPr>
          <w:ilvl w:val="0"/>
          <w:numId w:val="2"/>
        </w:numPr>
        <w:tabs>
          <w:tab w:val="left" w:pos="6630"/>
          <w:tab w:val="left" w:pos="9120"/>
        </w:tabs>
        <w:jc w:val="both"/>
        <w:rPr>
          <w:rFonts w:eastAsia="Times"/>
          <w:sz w:val="24"/>
          <w:szCs w:val="24"/>
        </w:rPr>
      </w:pPr>
      <w:r w:rsidRPr="002033A5">
        <w:rPr>
          <w:rFonts w:eastAsia="Times"/>
          <w:sz w:val="24"/>
          <w:szCs w:val="24"/>
        </w:rPr>
        <w:t xml:space="preserve">L’offre technique, conformément aux exigences contenues dans les spécifications, qui doit se conformer à la clause suivante : </w:t>
      </w:r>
    </w:p>
    <w:p w14:paraId="2A09A284" w14:textId="77777777" w:rsidR="00245983" w:rsidRPr="002033A5" w:rsidRDefault="00872FCA">
      <w:pPr>
        <w:numPr>
          <w:ilvl w:val="0"/>
          <w:numId w:val="2"/>
        </w:numPr>
        <w:jc w:val="both"/>
        <w:rPr>
          <w:sz w:val="24"/>
          <w:szCs w:val="24"/>
        </w:rPr>
      </w:pPr>
      <w:r w:rsidRPr="002033A5">
        <w:rPr>
          <w:sz w:val="24"/>
          <w:szCs w:val="24"/>
        </w:rPr>
        <w:t>Le devis financier, à envoyer en respectant strictement le formulaire de devis financier.</w:t>
      </w:r>
    </w:p>
    <w:p w14:paraId="4EAC714D" w14:textId="77777777" w:rsidR="004302B5" w:rsidRPr="002033A5" w:rsidRDefault="004302B5" w:rsidP="004302B5">
      <w:pPr>
        <w:jc w:val="both"/>
        <w:rPr>
          <w:sz w:val="24"/>
          <w:szCs w:val="24"/>
        </w:rPr>
      </w:pPr>
    </w:p>
    <w:p w14:paraId="48837E86" w14:textId="53BF7898" w:rsidR="004302B5" w:rsidRPr="002033A5" w:rsidRDefault="004302B5" w:rsidP="004302B5">
      <w:pPr>
        <w:jc w:val="both"/>
        <w:rPr>
          <w:sz w:val="24"/>
          <w:szCs w:val="24"/>
        </w:rPr>
      </w:pPr>
      <w:r w:rsidRPr="002033A5">
        <w:rPr>
          <w:sz w:val="24"/>
          <w:szCs w:val="24"/>
        </w:rPr>
        <w:t xml:space="preserve">Les propositions techniques et financières doivent être soumises </w:t>
      </w:r>
      <w:r w:rsidRPr="002033A5">
        <w:rPr>
          <w:color w:val="0070C0"/>
          <w:sz w:val="24"/>
          <w:szCs w:val="24"/>
        </w:rPr>
        <w:t xml:space="preserve">en </w:t>
      </w:r>
      <w:r w:rsidRPr="002033A5">
        <w:rPr>
          <w:b/>
          <w:color w:val="0070C0"/>
          <w:sz w:val="24"/>
          <w:szCs w:val="24"/>
        </w:rPr>
        <w:t>DEUX pièces jointes séparées. N'oubliez pas de</w:t>
      </w:r>
      <w:r w:rsidR="00763424" w:rsidRPr="002033A5">
        <w:rPr>
          <w:b/>
          <w:color w:val="0070C0"/>
          <w:sz w:val="24"/>
          <w:szCs w:val="24"/>
        </w:rPr>
        <w:t xml:space="preserve"> « protéger</w:t>
      </w:r>
      <w:r w:rsidRPr="002033A5">
        <w:rPr>
          <w:b/>
          <w:color w:val="0070C0"/>
          <w:sz w:val="24"/>
          <w:szCs w:val="24"/>
        </w:rPr>
        <w:t xml:space="preserve"> par mot de passe»</w:t>
      </w:r>
      <w:r w:rsidRPr="002033A5">
        <w:rPr>
          <w:color w:val="0070C0"/>
          <w:sz w:val="24"/>
          <w:szCs w:val="24"/>
        </w:rPr>
        <w:t xml:space="preserve"> </w:t>
      </w:r>
      <w:r w:rsidRPr="002033A5">
        <w:rPr>
          <w:sz w:val="24"/>
          <w:szCs w:val="24"/>
        </w:rPr>
        <w:t>votre proposition financière. Ne pas se conformer à cette exigence annulera immédiatement l'offre considérée.</w:t>
      </w:r>
    </w:p>
    <w:p w14:paraId="7799B591" w14:textId="77777777" w:rsidR="004302B5" w:rsidRPr="002033A5" w:rsidRDefault="004302B5" w:rsidP="004302B5">
      <w:pPr>
        <w:jc w:val="both"/>
        <w:rPr>
          <w:sz w:val="24"/>
          <w:szCs w:val="24"/>
        </w:rPr>
      </w:pPr>
    </w:p>
    <w:p w14:paraId="5ED7622D" w14:textId="77777777" w:rsidR="004302B5" w:rsidRPr="002033A5" w:rsidRDefault="004302B5" w:rsidP="004302B5">
      <w:pPr>
        <w:jc w:val="both"/>
        <w:rPr>
          <w:sz w:val="24"/>
          <w:szCs w:val="24"/>
        </w:rPr>
      </w:pPr>
      <w:r w:rsidRPr="002033A5">
        <w:rPr>
          <w:sz w:val="24"/>
          <w:szCs w:val="24"/>
        </w:rPr>
        <w:t>Les deux parties de l'offre doivent être signées par l'autorité compétente de la société soumissionnaire et soumises au format PDF.</w:t>
      </w:r>
    </w:p>
    <w:p w14:paraId="07DE44C6" w14:textId="77777777" w:rsidR="00245983" w:rsidRPr="002033A5" w:rsidRDefault="00245983">
      <w:pPr>
        <w:jc w:val="both"/>
        <w:rPr>
          <w:sz w:val="24"/>
          <w:szCs w:val="24"/>
        </w:rPr>
      </w:pPr>
    </w:p>
    <w:p w14:paraId="75010D09" w14:textId="77777777" w:rsidR="00245983" w:rsidRPr="002033A5" w:rsidRDefault="00872FCA">
      <w:pPr>
        <w:tabs>
          <w:tab w:val="left" w:pos="6630"/>
          <w:tab w:val="left" w:pos="9120"/>
        </w:tabs>
        <w:jc w:val="both"/>
        <w:rPr>
          <w:sz w:val="24"/>
          <w:szCs w:val="24"/>
        </w:rPr>
      </w:pPr>
      <w:r w:rsidRPr="002033A5">
        <w:rPr>
          <w:rFonts w:eastAsia="Times"/>
          <w:sz w:val="24"/>
          <w:szCs w:val="24"/>
        </w:rPr>
        <w:t xml:space="preserve">Les deux parties </w:t>
      </w:r>
      <w:r w:rsidR="00950066" w:rsidRPr="002033A5">
        <w:rPr>
          <w:rFonts w:eastAsia="Times"/>
          <w:sz w:val="24"/>
          <w:szCs w:val="24"/>
        </w:rPr>
        <w:t>de la cotation</w:t>
      </w:r>
      <w:r w:rsidRPr="002033A5">
        <w:rPr>
          <w:rFonts w:eastAsia="Times"/>
          <w:sz w:val="24"/>
          <w:szCs w:val="24"/>
        </w:rPr>
        <w:t xml:space="preserve"> doivent être signées par l’autorité compétente de la société soumissionnaire et envoyées </w:t>
      </w:r>
      <w:r w:rsidR="00950066" w:rsidRPr="002033A5">
        <w:rPr>
          <w:rFonts w:eastAsia="Times"/>
          <w:sz w:val="24"/>
          <w:szCs w:val="24"/>
        </w:rPr>
        <w:t xml:space="preserve">en </w:t>
      </w:r>
      <w:r w:rsidRPr="002033A5">
        <w:rPr>
          <w:rFonts w:eastAsia="Times"/>
          <w:sz w:val="24"/>
          <w:szCs w:val="24"/>
        </w:rPr>
        <w:t>format PDF.</w:t>
      </w:r>
    </w:p>
    <w:p w14:paraId="445DF972" w14:textId="77777777" w:rsidR="00245983" w:rsidRPr="002033A5" w:rsidRDefault="00245983">
      <w:pPr>
        <w:pStyle w:val="letter"/>
        <w:jc w:val="both"/>
        <w:rPr>
          <w:szCs w:val="24"/>
        </w:rPr>
      </w:pPr>
    </w:p>
    <w:p w14:paraId="643768E6" w14:textId="77777777" w:rsidR="00245983" w:rsidRPr="002033A5" w:rsidRDefault="00872FCA">
      <w:pPr>
        <w:pStyle w:val="ListParagraph"/>
        <w:numPr>
          <w:ilvl w:val="0"/>
          <w:numId w:val="3"/>
        </w:numPr>
        <w:jc w:val="both"/>
        <w:rPr>
          <w:b/>
          <w:sz w:val="24"/>
          <w:szCs w:val="24"/>
        </w:rPr>
      </w:pPr>
      <w:r w:rsidRPr="002033A5">
        <w:rPr>
          <w:b/>
          <w:sz w:val="24"/>
          <w:szCs w:val="24"/>
        </w:rPr>
        <w:t xml:space="preserve">Instructions de soumission </w:t>
      </w:r>
    </w:p>
    <w:p w14:paraId="3CC01B44" w14:textId="6F296B57" w:rsidR="00245983" w:rsidRPr="002033A5" w:rsidRDefault="00872FCA">
      <w:pPr>
        <w:pStyle w:val="letter"/>
        <w:jc w:val="both"/>
        <w:rPr>
          <w:szCs w:val="24"/>
        </w:rPr>
      </w:pPr>
      <w:r w:rsidRPr="002033A5">
        <w:rPr>
          <w:szCs w:val="24"/>
        </w:rPr>
        <w:t xml:space="preserve">Les offres doivent être préparées conformément aux recommandations présentées dans la </w:t>
      </w:r>
      <w:r w:rsidRPr="002033A5">
        <w:rPr>
          <w:b/>
          <w:szCs w:val="24"/>
        </w:rPr>
        <w:t>section </w:t>
      </w:r>
      <w:r w:rsidR="00950066" w:rsidRPr="002033A5">
        <w:rPr>
          <w:b/>
          <w:szCs w:val="24"/>
        </w:rPr>
        <w:t>III</w:t>
      </w:r>
      <w:r w:rsidR="00950066" w:rsidRPr="002033A5">
        <w:rPr>
          <w:szCs w:val="24"/>
        </w:rPr>
        <w:t xml:space="preserve"> </w:t>
      </w:r>
      <w:r w:rsidRPr="002033A5">
        <w:rPr>
          <w:szCs w:val="24"/>
        </w:rPr>
        <w:t xml:space="preserve">ci-dessus et envoyées par e-mail accompagnées d’un devis dûment rempli et signé au contact indiqué ci-dessous au plus tard le : </w:t>
      </w:r>
      <w:r w:rsidR="00372C66" w:rsidRPr="002033A5">
        <w:rPr>
          <w:szCs w:val="24"/>
        </w:rPr>
        <w:t xml:space="preserve"> </w:t>
      </w:r>
      <w:r w:rsidR="00A15083">
        <w:rPr>
          <w:bCs/>
          <w:szCs w:val="24"/>
        </w:rPr>
        <w:t xml:space="preserve">21 septembre </w:t>
      </w:r>
      <w:r w:rsidR="00A15083" w:rsidRPr="00763424">
        <w:rPr>
          <w:bCs/>
          <w:szCs w:val="24"/>
        </w:rPr>
        <w:t>2023</w:t>
      </w:r>
      <w:r w:rsidR="00763424" w:rsidRPr="00763424">
        <w:rPr>
          <w:bCs/>
          <w:szCs w:val="24"/>
        </w:rPr>
        <w:t>, 4h</w:t>
      </w:r>
      <w:r w:rsidR="00763424">
        <w:rPr>
          <w:bCs/>
          <w:szCs w:val="24"/>
        </w:rPr>
        <w:t>0</w:t>
      </w:r>
      <w:r w:rsidR="00763424" w:rsidRPr="00763424">
        <w:rPr>
          <w:bCs/>
          <w:szCs w:val="24"/>
        </w:rPr>
        <w:t>0PM</w:t>
      </w:r>
      <w:r w:rsidR="000F4C1D" w:rsidRPr="002033A5">
        <w:rPr>
          <w:szCs w:val="24"/>
        </w:rPr>
        <w:t xml:space="preserve"> </w:t>
      </w:r>
      <w:r w:rsidR="004D3AD4" w:rsidRPr="002033A5">
        <w:rPr>
          <w:szCs w:val="24"/>
        </w:rPr>
        <w:t>heure d’Haiti</w:t>
      </w:r>
      <w:r w:rsidRPr="002033A5">
        <w:rPr>
          <w:rStyle w:val="FootnoteAnchor"/>
          <w:szCs w:val="24"/>
        </w:rPr>
        <w:footnoteReference w:id="1"/>
      </w:r>
      <w:r w:rsidRPr="002033A5">
        <w:rPr>
          <w:szCs w:val="24"/>
        </w:rPr>
        <w:t>.</w:t>
      </w:r>
    </w:p>
    <w:p w14:paraId="30E2E622" w14:textId="77777777" w:rsidR="00245983" w:rsidRPr="002033A5" w:rsidRDefault="00245983">
      <w:pPr>
        <w:pStyle w:val="letter"/>
        <w:jc w:val="both"/>
        <w:rPr>
          <w:szCs w:val="24"/>
        </w:rPr>
      </w:pPr>
    </w:p>
    <w:p w14:paraId="0BA36572" w14:textId="77777777" w:rsidR="003F151A" w:rsidRPr="002033A5" w:rsidRDefault="003F151A" w:rsidP="003F151A">
      <w:pPr>
        <w:jc w:val="both"/>
        <w:rPr>
          <w:sz w:val="24"/>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3F151A" w:rsidRPr="002033A5" w14:paraId="277C2C2C" w14:textId="77777777" w:rsidTr="00622D83">
        <w:trPr>
          <w:jc w:val="center"/>
        </w:trPr>
        <w:tc>
          <w:tcPr>
            <w:tcW w:w="3510" w:type="dxa"/>
            <w:shd w:val="clear" w:color="auto" w:fill="auto"/>
            <w:vAlign w:val="center"/>
          </w:tcPr>
          <w:p w14:paraId="167777A5" w14:textId="77777777" w:rsidR="003F151A" w:rsidRPr="002033A5" w:rsidRDefault="003F151A" w:rsidP="003F151A">
            <w:pPr>
              <w:jc w:val="both"/>
              <w:rPr>
                <w:b/>
                <w:color w:val="4F81BD" w:themeColor="accent1"/>
                <w:sz w:val="24"/>
                <w:szCs w:val="24"/>
                <w:lang w:val="en-US"/>
              </w:rPr>
            </w:pPr>
            <w:r w:rsidRPr="002033A5">
              <w:rPr>
                <w:b/>
                <w:color w:val="4F81BD" w:themeColor="accent1"/>
                <w:sz w:val="24"/>
                <w:szCs w:val="24"/>
                <w:lang w:val="en-US"/>
              </w:rPr>
              <w:t>Name of contact person at UNFPA:</w:t>
            </w:r>
          </w:p>
        </w:tc>
        <w:tc>
          <w:tcPr>
            <w:tcW w:w="5012" w:type="dxa"/>
            <w:shd w:val="clear" w:color="auto" w:fill="auto"/>
            <w:vAlign w:val="center"/>
          </w:tcPr>
          <w:p w14:paraId="0035B562" w14:textId="539EEADA" w:rsidR="003F151A" w:rsidRPr="002033A5" w:rsidRDefault="00A15083" w:rsidP="003F151A">
            <w:pPr>
              <w:jc w:val="both"/>
              <w:rPr>
                <w:b/>
                <w:color w:val="4F81BD" w:themeColor="accent1"/>
                <w:sz w:val="24"/>
                <w:szCs w:val="24"/>
                <w:lang w:val="en-US"/>
              </w:rPr>
            </w:pPr>
            <w:r>
              <w:rPr>
                <w:b/>
                <w:color w:val="4F81BD" w:themeColor="accent1"/>
                <w:sz w:val="24"/>
                <w:szCs w:val="24"/>
                <w:lang w:val="en-US"/>
              </w:rPr>
              <w:t>Moussa Fall</w:t>
            </w:r>
          </w:p>
        </w:tc>
      </w:tr>
      <w:tr w:rsidR="003F151A" w:rsidRPr="002033A5" w14:paraId="2A9F4D10" w14:textId="77777777" w:rsidTr="00622D83">
        <w:trPr>
          <w:jc w:val="center"/>
        </w:trPr>
        <w:tc>
          <w:tcPr>
            <w:tcW w:w="3510" w:type="dxa"/>
            <w:shd w:val="clear" w:color="auto" w:fill="auto"/>
            <w:vAlign w:val="center"/>
          </w:tcPr>
          <w:p w14:paraId="61B756F8" w14:textId="77777777" w:rsidR="003F151A" w:rsidRPr="002033A5" w:rsidRDefault="003F151A" w:rsidP="003F151A">
            <w:pPr>
              <w:jc w:val="both"/>
              <w:rPr>
                <w:rFonts w:eastAsia="Calibri"/>
                <w:b/>
                <w:color w:val="4F81BD" w:themeColor="accent1"/>
                <w:sz w:val="24"/>
                <w:szCs w:val="24"/>
                <w:lang w:val="en-US"/>
              </w:rPr>
            </w:pPr>
            <w:r w:rsidRPr="002033A5">
              <w:rPr>
                <w:rFonts w:eastAsia="Calibri"/>
                <w:b/>
                <w:color w:val="4F81BD" w:themeColor="accent1"/>
                <w:sz w:val="24"/>
                <w:szCs w:val="24"/>
                <w:lang w:val="en-US"/>
              </w:rPr>
              <w:t>Email address of contact person:</w:t>
            </w:r>
          </w:p>
        </w:tc>
        <w:tc>
          <w:tcPr>
            <w:tcW w:w="5012" w:type="dxa"/>
            <w:shd w:val="clear" w:color="auto" w:fill="auto"/>
            <w:vAlign w:val="center"/>
          </w:tcPr>
          <w:p w14:paraId="51905F27" w14:textId="77777777" w:rsidR="003F151A" w:rsidRPr="002033A5" w:rsidRDefault="003F151A" w:rsidP="003F151A">
            <w:pPr>
              <w:jc w:val="both"/>
              <w:rPr>
                <w:b/>
                <w:color w:val="4F81BD" w:themeColor="accent1"/>
                <w:sz w:val="24"/>
                <w:szCs w:val="24"/>
                <w:lang w:val="en-US"/>
              </w:rPr>
            </w:pPr>
            <w:r w:rsidRPr="002033A5">
              <w:rPr>
                <w:b/>
                <w:color w:val="4F81BD" w:themeColor="accent1"/>
                <w:sz w:val="24"/>
                <w:szCs w:val="24"/>
                <w:lang w:val="en-US"/>
              </w:rPr>
              <w:t> </w:t>
            </w:r>
            <w:hyperlink r:id="rId11" w:tgtFrame="_blank" w:history="1">
              <w:r w:rsidRPr="002033A5">
                <w:rPr>
                  <w:b/>
                  <w:color w:val="4F81BD" w:themeColor="accent1"/>
                  <w:sz w:val="24"/>
                  <w:szCs w:val="24"/>
                  <w:lang w:val="en-US"/>
                </w:rPr>
                <w:t>procurement.haiti@unfpa.org</w:t>
              </w:r>
            </w:hyperlink>
            <w:r w:rsidRPr="002033A5">
              <w:rPr>
                <w:b/>
                <w:color w:val="4F81BD" w:themeColor="accent1"/>
                <w:sz w:val="24"/>
                <w:szCs w:val="24"/>
                <w:lang w:val="en-US"/>
              </w:rPr>
              <w:t> </w:t>
            </w:r>
          </w:p>
        </w:tc>
      </w:tr>
    </w:tbl>
    <w:p w14:paraId="3C5C15E3" w14:textId="77777777" w:rsidR="00245983" w:rsidRPr="002033A5" w:rsidRDefault="00245983">
      <w:pPr>
        <w:tabs>
          <w:tab w:val="left" w:pos="6630"/>
          <w:tab w:val="left" w:pos="9120"/>
        </w:tabs>
        <w:rPr>
          <w:rFonts w:eastAsia="Times"/>
          <w:sz w:val="24"/>
          <w:szCs w:val="24"/>
        </w:rPr>
      </w:pPr>
    </w:p>
    <w:p w14:paraId="33C06C59" w14:textId="77777777" w:rsidR="003F151A" w:rsidRPr="002033A5" w:rsidRDefault="003F151A">
      <w:pPr>
        <w:tabs>
          <w:tab w:val="left" w:pos="6630"/>
          <w:tab w:val="left" w:pos="9120"/>
        </w:tabs>
        <w:rPr>
          <w:rFonts w:eastAsia="Times"/>
          <w:sz w:val="24"/>
          <w:szCs w:val="24"/>
        </w:rPr>
      </w:pPr>
    </w:p>
    <w:p w14:paraId="780965B9" w14:textId="77777777" w:rsidR="003F151A" w:rsidRPr="002033A5" w:rsidRDefault="003F151A">
      <w:pPr>
        <w:tabs>
          <w:tab w:val="left" w:pos="6630"/>
          <w:tab w:val="left" w:pos="9120"/>
        </w:tabs>
        <w:rPr>
          <w:rFonts w:eastAsia="Times"/>
          <w:sz w:val="24"/>
          <w:szCs w:val="24"/>
        </w:rPr>
      </w:pPr>
    </w:p>
    <w:p w14:paraId="1B9070C8" w14:textId="77777777" w:rsidR="00245983" w:rsidRPr="002033A5" w:rsidRDefault="00872FCA">
      <w:pPr>
        <w:pStyle w:val="letter"/>
        <w:jc w:val="both"/>
        <w:rPr>
          <w:szCs w:val="24"/>
        </w:rPr>
      </w:pPr>
      <w:r w:rsidRPr="002033A5">
        <w:rPr>
          <w:szCs w:val="24"/>
        </w:rPr>
        <w:t xml:space="preserve">Veuillez prendre connaissance des </w:t>
      </w:r>
      <w:r w:rsidR="00950066" w:rsidRPr="002033A5">
        <w:rPr>
          <w:szCs w:val="24"/>
        </w:rPr>
        <w:t xml:space="preserve">instructions </w:t>
      </w:r>
      <w:r w:rsidRPr="002033A5">
        <w:rPr>
          <w:szCs w:val="24"/>
        </w:rPr>
        <w:t>suivantes pour les soumissions électroniques :</w:t>
      </w:r>
    </w:p>
    <w:p w14:paraId="0F4364D4" w14:textId="45FAFA4E" w:rsidR="00245983" w:rsidRPr="002033A5" w:rsidRDefault="00872FCA">
      <w:pPr>
        <w:pStyle w:val="Caption"/>
        <w:numPr>
          <w:ilvl w:val="0"/>
          <w:numId w:val="1"/>
        </w:numPr>
        <w:jc w:val="both"/>
        <w:rPr>
          <w:sz w:val="24"/>
          <w:szCs w:val="24"/>
        </w:rPr>
      </w:pPr>
      <w:r w:rsidRPr="002033A5">
        <w:rPr>
          <w:b w:val="0"/>
          <w:sz w:val="24"/>
          <w:szCs w:val="24"/>
        </w:rPr>
        <w:t xml:space="preserve">La référence suivante doit être incluse dans le champ de l’objet de l’e-mail — </w:t>
      </w:r>
      <w:r w:rsidRPr="002033A5">
        <w:rPr>
          <w:sz w:val="24"/>
          <w:szCs w:val="24"/>
        </w:rPr>
        <w:t>RFQ Nº UNFPA/</w:t>
      </w:r>
      <w:r w:rsidR="004D3AD4" w:rsidRPr="002033A5">
        <w:rPr>
          <w:sz w:val="24"/>
          <w:szCs w:val="24"/>
        </w:rPr>
        <w:t>HTI</w:t>
      </w:r>
      <w:r w:rsidRPr="002033A5">
        <w:rPr>
          <w:sz w:val="24"/>
          <w:szCs w:val="24"/>
        </w:rPr>
        <w:t>/RFQ/</w:t>
      </w:r>
      <w:r w:rsidR="001B0C5B" w:rsidRPr="002033A5">
        <w:rPr>
          <w:sz w:val="24"/>
          <w:szCs w:val="24"/>
        </w:rPr>
        <w:t>23</w:t>
      </w:r>
      <w:r w:rsidRPr="002033A5">
        <w:rPr>
          <w:sz w:val="24"/>
          <w:szCs w:val="24"/>
        </w:rPr>
        <w:t>/</w:t>
      </w:r>
      <w:r w:rsidR="00FF23CE">
        <w:rPr>
          <w:sz w:val="24"/>
          <w:szCs w:val="24"/>
        </w:rPr>
        <w:t>03</w:t>
      </w:r>
      <w:r w:rsidR="00D73BEF">
        <w:rPr>
          <w:sz w:val="24"/>
          <w:szCs w:val="24"/>
        </w:rPr>
        <w:t>2</w:t>
      </w:r>
      <w:r w:rsidRPr="002033A5">
        <w:rPr>
          <w:sz w:val="24"/>
          <w:szCs w:val="24"/>
        </w:rPr>
        <w:t xml:space="preserve"> –. </w:t>
      </w:r>
      <w:r w:rsidRPr="002033A5">
        <w:rPr>
          <w:b w:val="0"/>
          <w:sz w:val="24"/>
          <w:szCs w:val="24"/>
        </w:rPr>
        <w:t>Les e-mails ne contenant pas l’objet correct pourront ne pas être pris en compte par le fonctionnaire en charge de l’approvisionnement et seront donc ignorés.</w:t>
      </w:r>
    </w:p>
    <w:p w14:paraId="277FC706" w14:textId="77777777" w:rsidR="00245983" w:rsidRPr="002033A5" w:rsidRDefault="00872FCA">
      <w:pPr>
        <w:pStyle w:val="letter"/>
        <w:numPr>
          <w:ilvl w:val="0"/>
          <w:numId w:val="1"/>
        </w:numPr>
        <w:jc w:val="both"/>
        <w:rPr>
          <w:szCs w:val="24"/>
        </w:rPr>
      </w:pPr>
      <w:r w:rsidRPr="002033A5">
        <w:rPr>
          <w:szCs w:val="24"/>
        </w:rPr>
        <w:t xml:space="preserve">La taille totale de l’e-mail ne doit pas excéder </w:t>
      </w:r>
      <w:r w:rsidRPr="002033A5">
        <w:rPr>
          <w:b/>
          <w:szCs w:val="24"/>
        </w:rPr>
        <w:t>20 MB (y compris le</w:t>
      </w:r>
      <w:r w:rsidRPr="002033A5">
        <w:rPr>
          <w:szCs w:val="24"/>
        </w:rPr>
        <w:t xml:space="preserve"> </w:t>
      </w:r>
      <w:r w:rsidRPr="002033A5">
        <w:rPr>
          <w:b/>
          <w:bCs/>
          <w:szCs w:val="24"/>
        </w:rPr>
        <w:t>corps de l’e-mail, les pièces jointes et les en-têtes)</w:t>
      </w:r>
      <w:r w:rsidRPr="002033A5">
        <w:rPr>
          <w:szCs w:val="24"/>
        </w:rPr>
        <w:t xml:space="preserve">. Si les détails techniques sont inclus dans des fichiers électroniques de grande taille, il est recommandé de les envoyer séparément avant la date de clôture.  </w:t>
      </w:r>
    </w:p>
    <w:p w14:paraId="6C02F8E2" w14:textId="77777777" w:rsidR="00245983" w:rsidRPr="002033A5" w:rsidRDefault="00245983">
      <w:pPr>
        <w:jc w:val="both"/>
        <w:rPr>
          <w:sz w:val="24"/>
          <w:szCs w:val="24"/>
        </w:rPr>
      </w:pPr>
    </w:p>
    <w:p w14:paraId="4912EFC9" w14:textId="77777777" w:rsidR="00245983" w:rsidRPr="002033A5" w:rsidRDefault="00872FCA">
      <w:pPr>
        <w:pStyle w:val="ListParagraph"/>
        <w:numPr>
          <w:ilvl w:val="0"/>
          <w:numId w:val="3"/>
        </w:numPr>
        <w:jc w:val="both"/>
        <w:rPr>
          <w:b/>
          <w:sz w:val="24"/>
          <w:szCs w:val="24"/>
        </w:rPr>
      </w:pPr>
      <w:r w:rsidRPr="002033A5">
        <w:rPr>
          <w:b/>
          <w:sz w:val="24"/>
          <w:szCs w:val="24"/>
        </w:rPr>
        <w:t>Vue d’ensemble du processus d’évaluation</w:t>
      </w:r>
    </w:p>
    <w:p w14:paraId="7685CB42" w14:textId="77777777" w:rsidR="00245983" w:rsidRPr="002033A5" w:rsidRDefault="00872FCA">
      <w:pPr>
        <w:jc w:val="both"/>
        <w:rPr>
          <w:sz w:val="24"/>
          <w:szCs w:val="24"/>
        </w:rPr>
      </w:pPr>
      <w:r w:rsidRPr="002033A5">
        <w:rPr>
          <w:sz w:val="24"/>
          <w:szCs w:val="24"/>
        </w:rPr>
        <w:t xml:space="preserve">Les </w:t>
      </w:r>
      <w:r w:rsidR="00950066" w:rsidRPr="002033A5">
        <w:rPr>
          <w:sz w:val="24"/>
          <w:szCs w:val="24"/>
        </w:rPr>
        <w:t xml:space="preserve">Offres </w:t>
      </w:r>
      <w:r w:rsidRPr="002033A5">
        <w:rPr>
          <w:sz w:val="24"/>
          <w:szCs w:val="24"/>
        </w:rPr>
        <w:t xml:space="preserve">seront </w:t>
      </w:r>
      <w:r w:rsidR="00950066" w:rsidRPr="002033A5">
        <w:rPr>
          <w:sz w:val="24"/>
          <w:szCs w:val="24"/>
        </w:rPr>
        <w:t>évaluées</w:t>
      </w:r>
      <w:r w:rsidRPr="002033A5">
        <w:rPr>
          <w:sz w:val="24"/>
          <w:szCs w:val="24"/>
        </w:rPr>
        <w:t xml:space="preserve"> sur la base de la conformité de l’offre technique et du coût total des biens (devis financier).</w:t>
      </w:r>
    </w:p>
    <w:p w14:paraId="05D389A2" w14:textId="77777777" w:rsidR="00BE32C1" w:rsidRPr="002033A5" w:rsidRDefault="00BE32C1">
      <w:pPr>
        <w:jc w:val="both"/>
        <w:rPr>
          <w:sz w:val="24"/>
          <w:szCs w:val="24"/>
        </w:rPr>
      </w:pPr>
    </w:p>
    <w:p w14:paraId="1F53B9A3" w14:textId="77777777" w:rsidR="00BE32C1" w:rsidRPr="002033A5" w:rsidRDefault="00BE32C1" w:rsidP="00BE32C1">
      <w:pPr>
        <w:jc w:val="both"/>
        <w:rPr>
          <w:sz w:val="24"/>
          <w:szCs w:val="24"/>
          <w:lang w:eastAsia="en-GB"/>
        </w:rPr>
      </w:pPr>
      <w:r w:rsidRPr="002033A5">
        <w:rPr>
          <w:sz w:val="24"/>
          <w:szCs w:val="24"/>
          <w:lang w:eastAsia="en-GB"/>
        </w:rPr>
        <w:t>L’évaluation sera réalisée au moyen d’un processus en deux étapes par une commission d’évaluation ad hoc. La conformité des offres techniques sera évaluée avant la comparaison des devis financiers.</w:t>
      </w:r>
    </w:p>
    <w:p w14:paraId="6A055504" w14:textId="77777777" w:rsidR="00BE32C1" w:rsidRPr="002033A5" w:rsidRDefault="00BE32C1">
      <w:pPr>
        <w:jc w:val="both"/>
        <w:rPr>
          <w:sz w:val="24"/>
          <w:szCs w:val="24"/>
        </w:rPr>
      </w:pPr>
    </w:p>
    <w:tbl>
      <w:tblPr>
        <w:tblW w:w="1032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99" w:type="dxa"/>
        </w:tblCellMar>
        <w:tblLook w:val="04A0" w:firstRow="1" w:lastRow="0" w:firstColumn="1" w:lastColumn="0" w:noHBand="0" w:noVBand="1"/>
      </w:tblPr>
      <w:tblGrid>
        <w:gridCol w:w="3652"/>
        <w:gridCol w:w="1369"/>
        <w:gridCol w:w="1861"/>
        <w:gridCol w:w="1621"/>
        <w:gridCol w:w="1820"/>
      </w:tblGrid>
      <w:tr w:rsidR="00BE32C1" w:rsidRPr="002033A5" w14:paraId="3FC4BF9E"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99B5A22" w14:textId="77777777" w:rsidR="00BE32C1" w:rsidRPr="002033A5" w:rsidRDefault="00BE32C1">
            <w:pPr>
              <w:spacing w:line="276" w:lineRule="auto"/>
              <w:jc w:val="center"/>
              <w:rPr>
                <w:b/>
                <w:sz w:val="24"/>
                <w:szCs w:val="24"/>
              </w:rPr>
            </w:pPr>
            <w:r w:rsidRPr="002033A5">
              <w:rPr>
                <w:b/>
                <w:color w:val="FFFFFF" w:themeColor="background1"/>
                <w:sz w:val="24"/>
                <w:szCs w:val="24"/>
              </w:rPr>
              <w:t>Critères</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7DDC8D6" w14:textId="77777777" w:rsidR="00BE32C1" w:rsidRPr="002033A5" w:rsidRDefault="00BE32C1">
            <w:pPr>
              <w:pStyle w:val="Figure1"/>
              <w:spacing w:line="276" w:lineRule="auto"/>
              <w:rPr>
                <w:rFonts w:ascii="Times New Roman" w:hAnsi="Times New Roman"/>
                <w:i w:val="0"/>
                <w:sz w:val="24"/>
                <w:szCs w:val="24"/>
              </w:rPr>
            </w:pPr>
            <w:r w:rsidRPr="002033A5">
              <w:rPr>
                <w:rFonts w:ascii="Times New Roman" w:hAnsi="Times New Roman"/>
                <w:i w:val="0"/>
                <w:sz w:val="24"/>
                <w:szCs w:val="24"/>
              </w:rPr>
              <w:t>[A] Maximum de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26E5E3B" w14:textId="77777777" w:rsidR="00BE32C1" w:rsidRPr="002033A5" w:rsidRDefault="00BE32C1">
            <w:pPr>
              <w:pStyle w:val="Figure1"/>
              <w:spacing w:line="276" w:lineRule="auto"/>
              <w:rPr>
                <w:rFonts w:ascii="Times New Roman" w:hAnsi="Times New Roman"/>
                <w:i w:val="0"/>
                <w:sz w:val="24"/>
                <w:szCs w:val="24"/>
              </w:rPr>
            </w:pPr>
            <w:r w:rsidRPr="002033A5">
              <w:rPr>
                <w:rFonts w:ascii="Times New Roman" w:hAnsi="Times New Roman"/>
                <w:i w:val="0"/>
                <w:sz w:val="24"/>
                <w:szCs w:val="24"/>
              </w:rPr>
              <w:t>[B]</w:t>
            </w:r>
          </w:p>
          <w:p w14:paraId="3F21E8E2" w14:textId="77777777" w:rsidR="00BE32C1" w:rsidRPr="002033A5" w:rsidRDefault="00BE32C1">
            <w:pPr>
              <w:pStyle w:val="Figure1"/>
              <w:spacing w:line="276" w:lineRule="auto"/>
              <w:rPr>
                <w:rFonts w:ascii="Times New Roman" w:hAnsi="Times New Roman"/>
                <w:i w:val="0"/>
                <w:sz w:val="24"/>
                <w:szCs w:val="24"/>
              </w:rPr>
            </w:pPr>
            <w:r w:rsidRPr="002033A5">
              <w:rPr>
                <w:rFonts w:ascii="Times New Roman" w:hAnsi="Times New Roman"/>
                <w:i w:val="0"/>
                <w:sz w:val="24"/>
                <w:szCs w:val="24"/>
              </w:rPr>
              <w:t>Points obtenus par le soumissionnaire</w:t>
            </w:r>
          </w:p>
        </w:tc>
        <w:tc>
          <w:tcPr>
            <w:tcW w:w="164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2EFEBB7" w14:textId="77777777" w:rsidR="00BE32C1" w:rsidRPr="002033A5" w:rsidRDefault="00BE32C1">
            <w:pPr>
              <w:pStyle w:val="Figure1"/>
              <w:spacing w:line="276" w:lineRule="auto"/>
              <w:rPr>
                <w:rFonts w:ascii="Times New Roman" w:hAnsi="Times New Roman"/>
                <w:i w:val="0"/>
                <w:sz w:val="24"/>
                <w:szCs w:val="24"/>
              </w:rPr>
            </w:pPr>
            <w:r w:rsidRPr="002033A5">
              <w:rPr>
                <w:rFonts w:ascii="Times New Roman" w:hAnsi="Times New Roman"/>
                <w:i w:val="0"/>
                <w:sz w:val="24"/>
                <w:szCs w:val="24"/>
              </w:rPr>
              <w:t>[C] Pondération (%)</w:t>
            </w:r>
          </w:p>
        </w:tc>
        <w:tc>
          <w:tcPr>
            <w:tcW w:w="1953"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9327525" w14:textId="77777777" w:rsidR="00BE32C1" w:rsidRPr="002033A5" w:rsidRDefault="00BE32C1">
            <w:pPr>
              <w:pStyle w:val="Figure1"/>
              <w:spacing w:line="276" w:lineRule="auto"/>
              <w:rPr>
                <w:rFonts w:ascii="Times New Roman" w:hAnsi="Times New Roman"/>
                <w:i w:val="0"/>
                <w:sz w:val="24"/>
                <w:szCs w:val="24"/>
              </w:rPr>
            </w:pPr>
            <w:r w:rsidRPr="002033A5">
              <w:rPr>
                <w:rFonts w:ascii="Times New Roman" w:hAnsi="Times New Roman"/>
                <w:i w:val="0"/>
                <w:sz w:val="24"/>
                <w:szCs w:val="24"/>
              </w:rPr>
              <w:t>[B] x [C] = [D] Total des points</w:t>
            </w:r>
          </w:p>
        </w:tc>
      </w:tr>
      <w:tr w:rsidR="00BE32C1" w:rsidRPr="002033A5" w14:paraId="520905C7"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79F7EC8F" w14:textId="77777777" w:rsidR="00BE32C1" w:rsidRPr="002033A5" w:rsidRDefault="00BE32C1" w:rsidP="00BE32C1">
            <w:pPr>
              <w:pStyle w:val="Figure1"/>
              <w:numPr>
                <w:ilvl w:val="0"/>
                <w:numId w:val="12"/>
              </w:numPr>
              <w:spacing w:line="276" w:lineRule="auto"/>
              <w:jc w:val="left"/>
              <w:rPr>
                <w:rFonts w:ascii="Times New Roman" w:hAnsi="Times New Roman"/>
                <w:b w:val="0"/>
                <w:i w:val="0"/>
                <w:color w:val="000000"/>
                <w:sz w:val="24"/>
                <w:szCs w:val="24"/>
              </w:rPr>
            </w:pPr>
            <w:r w:rsidRPr="002033A5">
              <w:rPr>
                <w:rFonts w:ascii="Times New Roman" w:hAnsi="Times New Roman"/>
                <w:b w:val="0"/>
                <w:i w:val="0"/>
                <w:color w:val="000000"/>
                <w:sz w:val="24"/>
                <w:szCs w:val="24"/>
              </w:rPr>
              <w:t>Approche technique et méthodologie, compréhension de la nature et de l’étendue des services</w:t>
            </w:r>
          </w:p>
        </w:tc>
        <w:tc>
          <w:tcPr>
            <w:tcW w:w="1382"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373B13D3"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70745274" w14:textId="77777777" w:rsidR="00BE32C1" w:rsidRPr="002033A5" w:rsidRDefault="00BE32C1">
            <w:pPr>
              <w:pStyle w:val="Figure1"/>
              <w:spacing w:line="276" w:lineRule="auto"/>
              <w:rPr>
                <w:rFonts w:ascii="Times New Roman" w:hAnsi="Times New Roman"/>
                <w:b w:val="0"/>
                <w:i w:val="0"/>
                <w:color w:val="000000"/>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398C0CF3"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25 %</w:t>
            </w:r>
          </w:p>
        </w:tc>
        <w:tc>
          <w:tcPr>
            <w:tcW w:w="1953"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4CD993D4" w14:textId="77777777" w:rsidR="00BE32C1" w:rsidRPr="002033A5" w:rsidRDefault="00BE32C1">
            <w:pPr>
              <w:pStyle w:val="Figure1"/>
              <w:spacing w:line="276" w:lineRule="auto"/>
              <w:rPr>
                <w:rFonts w:ascii="Times New Roman" w:hAnsi="Times New Roman"/>
                <w:b w:val="0"/>
                <w:i w:val="0"/>
                <w:color w:val="000000"/>
                <w:sz w:val="24"/>
                <w:szCs w:val="24"/>
              </w:rPr>
            </w:pPr>
          </w:p>
        </w:tc>
      </w:tr>
      <w:tr w:rsidR="00BE32C1" w:rsidRPr="002033A5" w14:paraId="1728CA7B"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3F2F945C" w14:textId="77777777" w:rsidR="00BE32C1" w:rsidRPr="002033A5" w:rsidRDefault="00BE32C1" w:rsidP="00BE32C1">
            <w:pPr>
              <w:pStyle w:val="Figure1"/>
              <w:numPr>
                <w:ilvl w:val="0"/>
                <w:numId w:val="12"/>
              </w:numPr>
              <w:spacing w:line="276" w:lineRule="auto"/>
              <w:jc w:val="left"/>
              <w:rPr>
                <w:rFonts w:ascii="Times New Roman" w:hAnsi="Times New Roman"/>
                <w:b w:val="0"/>
                <w:i w:val="0"/>
                <w:color w:val="000000"/>
                <w:sz w:val="24"/>
                <w:szCs w:val="24"/>
              </w:rPr>
            </w:pPr>
            <w:r w:rsidRPr="002033A5">
              <w:rPr>
                <w:rFonts w:ascii="Times New Roman" w:hAnsi="Times New Roman"/>
                <w:b w:val="0"/>
                <w:i w:val="0"/>
                <w:color w:val="000000"/>
                <w:sz w:val="24"/>
                <w:szCs w:val="24"/>
              </w:rPr>
              <w:t xml:space="preserve">Plan de mise en œuvre et plan de gestion </w:t>
            </w:r>
          </w:p>
        </w:tc>
        <w:tc>
          <w:tcPr>
            <w:tcW w:w="1382"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1F5B6AEF"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112220AE" w14:textId="77777777" w:rsidR="00BE32C1" w:rsidRPr="002033A5" w:rsidRDefault="00BE32C1">
            <w:pPr>
              <w:pStyle w:val="Figure1"/>
              <w:spacing w:line="276" w:lineRule="auto"/>
              <w:rPr>
                <w:rFonts w:ascii="Times New Roman" w:hAnsi="Times New Roman"/>
                <w:b w:val="0"/>
                <w:i w:val="0"/>
                <w:color w:val="000000"/>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654C5C1F"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20 %</w:t>
            </w:r>
          </w:p>
        </w:tc>
        <w:tc>
          <w:tcPr>
            <w:tcW w:w="1953"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3D76F1D8" w14:textId="77777777" w:rsidR="00BE32C1" w:rsidRPr="002033A5" w:rsidRDefault="00BE32C1">
            <w:pPr>
              <w:pStyle w:val="Figure1"/>
              <w:spacing w:line="276" w:lineRule="auto"/>
              <w:rPr>
                <w:rFonts w:ascii="Times New Roman" w:hAnsi="Times New Roman"/>
                <w:b w:val="0"/>
                <w:i w:val="0"/>
                <w:color w:val="000000"/>
                <w:sz w:val="24"/>
                <w:szCs w:val="24"/>
              </w:rPr>
            </w:pPr>
          </w:p>
        </w:tc>
      </w:tr>
      <w:tr w:rsidR="00BE32C1" w:rsidRPr="002033A5" w14:paraId="31C147B2"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12EC9073" w14:textId="77777777" w:rsidR="00BE32C1" w:rsidRPr="002033A5" w:rsidRDefault="00BE32C1" w:rsidP="00BE32C1">
            <w:pPr>
              <w:pStyle w:val="Figure1"/>
              <w:numPr>
                <w:ilvl w:val="0"/>
                <w:numId w:val="12"/>
              </w:numPr>
              <w:spacing w:line="276" w:lineRule="auto"/>
              <w:jc w:val="left"/>
              <w:rPr>
                <w:rFonts w:ascii="Times New Roman" w:hAnsi="Times New Roman"/>
                <w:b w:val="0"/>
                <w:i w:val="0"/>
                <w:color w:val="000000"/>
                <w:sz w:val="24"/>
                <w:szCs w:val="24"/>
              </w:rPr>
            </w:pPr>
            <w:r w:rsidRPr="002033A5">
              <w:rPr>
                <w:rFonts w:ascii="Times New Roman" w:hAnsi="Times New Roman"/>
                <w:b w:val="0"/>
                <w:i w:val="0"/>
                <w:color w:val="000000"/>
                <w:sz w:val="24"/>
                <w:szCs w:val="24"/>
              </w:rPr>
              <w:t>Expérience spécifique et expertise pertinente en lien avec la tâche à réaliser</w:t>
            </w:r>
          </w:p>
        </w:tc>
        <w:tc>
          <w:tcPr>
            <w:tcW w:w="1382"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186E555C"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BCD6C22" w14:textId="77777777" w:rsidR="00BE32C1" w:rsidRPr="002033A5" w:rsidRDefault="00BE32C1">
            <w:pPr>
              <w:pStyle w:val="Figure1"/>
              <w:spacing w:line="276" w:lineRule="auto"/>
              <w:rPr>
                <w:rFonts w:ascii="Times New Roman" w:hAnsi="Times New Roman"/>
                <w:b w:val="0"/>
                <w:i w:val="0"/>
                <w:color w:val="000000"/>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72BA39A7"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15 %</w:t>
            </w:r>
          </w:p>
        </w:tc>
        <w:tc>
          <w:tcPr>
            <w:tcW w:w="1953"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6D42ABAF" w14:textId="77777777" w:rsidR="00BE32C1" w:rsidRPr="002033A5" w:rsidRDefault="00BE32C1">
            <w:pPr>
              <w:pStyle w:val="Figure1"/>
              <w:spacing w:line="276" w:lineRule="auto"/>
              <w:rPr>
                <w:rFonts w:ascii="Times New Roman" w:hAnsi="Times New Roman"/>
                <w:b w:val="0"/>
                <w:i w:val="0"/>
                <w:color w:val="000000"/>
                <w:sz w:val="24"/>
                <w:szCs w:val="24"/>
              </w:rPr>
            </w:pPr>
          </w:p>
        </w:tc>
      </w:tr>
      <w:tr w:rsidR="00BE32C1" w:rsidRPr="002033A5" w14:paraId="7D24835E"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5EE83986" w14:textId="77777777" w:rsidR="00BE32C1" w:rsidRPr="002033A5" w:rsidRDefault="00BE32C1" w:rsidP="00BE32C1">
            <w:pPr>
              <w:pStyle w:val="ListParagraph"/>
              <w:numPr>
                <w:ilvl w:val="0"/>
                <w:numId w:val="12"/>
              </w:numPr>
              <w:overflowPunct w:val="0"/>
              <w:spacing w:before="60" w:after="60" w:line="276" w:lineRule="auto"/>
              <w:textAlignment w:val="auto"/>
              <w:rPr>
                <w:color w:val="000000"/>
                <w:sz w:val="24"/>
                <w:szCs w:val="24"/>
              </w:rPr>
            </w:pPr>
            <w:r w:rsidRPr="002033A5">
              <w:rPr>
                <w:color w:val="000000"/>
                <w:sz w:val="24"/>
                <w:szCs w:val="24"/>
              </w:rPr>
              <w:t>Satisfaction du client et programme de qualité de la société</w:t>
            </w:r>
          </w:p>
        </w:tc>
        <w:tc>
          <w:tcPr>
            <w:tcW w:w="1382"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0DF3BCEC"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AA36B25" w14:textId="77777777" w:rsidR="00BE32C1" w:rsidRPr="002033A5" w:rsidRDefault="00BE32C1">
            <w:pPr>
              <w:pStyle w:val="Figure1"/>
              <w:spacing w:line="276" w:lineRule="auto"/>
              <w:rPr>
                <w:rFonts w:ascii="Times New Roman" w:hAnsi="Times New Roman"/>
                <w:b w:val="0"/>
                <w:i w:val="0"/>
                <w:color w:val="000000"/>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4A525A3C"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20 %</w:t>
            </w:r>
          </w:p>
        </w:tc>
        <w:tc>
          <w:tcPr>
            <w:tcW w:w="1953"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45C89EF" w14:textId="77777777" w:rsidR="00BE32C1" w:rsidRPr="002033A5" w:rsidRDefault="00BE32C1">
            <w:pPr>
              <w:pStyle w:val="Figure1"/>
              <w:spacing w:line="276" w:lineRule="auto"/>
              <w:rPr>
                <w:rFonts w:ascii="Times New Roman" w:hAnsi="Times New Roman"/>
                <w:b w:val="0"/>
                <w:i w:val="0"/>
                <w:color w:val="000000"/>
                <w:sz w:val="24"/>
                <w:szCs w:val="24"/>
              </w:rPr>
            </w:pPr>
          </w:p>
        </w:tc>
      </w:tr>
      <w:tr w:rsidR="00BE32C1" w:rsidRPr="002033A5" w14:paraId="76ACA01D"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7CD09C6A" w14:textId="77777777" w:rsidR="00BE32C1" w:rsidRPr="002033A5" w:rsidRDefault="00BE32C1" w:rsidP="00BE32C1">
            <w:pPr>
              <w:pStyle w:val="ListParagraph"/>
              <w:numPr>
                <w:ilvl w:val="0"/>
                <w:numId w:val="12"/>
              </w:numPr>
              <w:overflowPunct w:val="0"/>
              <w:spacing w:before="60" w:after="60" w:line="276" w:lineRule="auto"/>
              <w:textAlignment w:val="auto"/>
              <w:rPr>
                <w:color w:val="000000"/>
                <w:sz w:val="24"/>
                <w:szCs w:val="24"/>
              </w:rPr>
            </w:pPr>
            <w:r w:rsidRPr="002033A5">
              <w:rPr>
                <w:color w:val="000000"/>
                <w:sz w:val="24"/>
                <w:szCs w:val="24"/>
              </w:rPr>
              <w:t>Organisation et effectifs</w:t>
            </w:r>
          </w:p>
        </w:tc>
        <w:tc>
          <w:tcPr>
            <w:tcW w:w="1382"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6A0D84AB"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3A77F32" w14:textId="77777777" w:rsidR="00BE32C1" w:rsidRPr="002033A5" w:rsidRDefault="00BE32C1">
            <w:pPr>
              <w:pStyle w:val="Figure1"/>
              <w:spacing w:line="276" w:lineRule="auto"/>
              <w:rPr>
                <w:rFonts w:ascii="Times New Roman" w:hAnsi="Times New Roman"/>
                <w:b w:val="0"/>
                <w:i w:val="0"/>
                <w:color w:val="000000"/>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6BC76A4B"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20 %</w:t>
            </w:r>
          </w:p>
        </w:tc>
        <w:tc>
          <w:tcPr>
            <w:tcW w:w="1953"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C45A3E0" w14:textId="77777777" w:rsidR="00BE32C1" w:rsidRPr="002033A5" w:rsidRDefault="00BE32C1">
            <w:pPr>
              <w:pStyle w:val="Figure1"/>
              <w:spacing w:line="276" w:lineRule="auto"/>
              <w:rPr>
                <w:rFonts w:ascii="Times New Roman" w:hAnsi="Times New Roman"/>
                <w:b w:val="0"/>
                <w:i w:val="0"/>
                <w:color w:val="000000"/>
                <w:sz w:val="24"/>
                <w:szCs w:val="24"/>
              </w:rPr>
            </w:pPr>
          </w:p>
        </w:tc>
      </w:tr>
      <w:tr w:rsidR="00BE32C1" w:rsidRPr="002033A5" w14:paraId="39C8C5FC" w14:textId="77777777" w:rsidTr="00BE32C1">
        <w:trPr>
          <w:trHeight w:val="410"/>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7876D46" w14:textId="77777777" w:rsidR="00BE32C1" w:rsidRPr="002033A5" w:rsidRDefault="00BE32C1">
            <w:pPr>
              <w:spacing w:before="60" w:after="60" w:line="276" w:lineRule="auto"/>
              <w:jc w:val="right"/>
              <w:rPr>
                <w:color w:val="00000A"/>
                <w:sz w:val="24"/>
                <w:szCs w:val="24"/>
              </w:rPr>
            </w:pPr>
            <w:r w:rsidRPr="002033A5">
              <w:rPr>
                <w:sz w:val="24"/>
                <w:szCs w:val="24"/>
              </w:rPr>
              <w:t>GRAND TOTAL DE TOUS LES CRITÈRES</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177F046" w14:textId="77777777" w:rsidR="00BE32C1" w:rsidRPr="002033A5" w:rsidRDefault="00BE32C1">
            <w:pPr>
              <w:spacing w:before="60" w:after="60" w:line="276" w:lineRule="auto"/>
              <w:jc w:val="center"/>
              <w:rPr>
                <w:sz w:val="24"/>
                <w:szCs w:val="24"/>
              </w:rPr>
            </w:pPr>
            <w:r w:rsidRPr="002033A5">
              <w:rPr>
                <w:sz w:val="24"/>
                <w:szCs w:val="24"/>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14958BC" w14:textId="77777777" w:rsidR="00BE32C1" w:rsidRPr="002033A5" w:rsidRDefault="00BE32C1">
            <w:pPr>
              <w:spacing w:before="60" w:after="60" w:line="276" w:lineRule="auto"/>
              <w:jc w:val="center"/>
              <w:rPr>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25DE240D" w14:textId="77777777" w:rsidR="00BE32C1" w:rsidRPr="002033A5" w:rsidRDefault="00BE32C1">
            <w:pPr>
              <w:spacing w:before="60" w:after="60" w:line="276" w:lineRule="auto"/>
              <w:jc w:val="center"/>
              <w:rPr>
                <w:sz w:val="24"/>
                <w:szCs w:val="24"/>
              </w:rPr>
            </w:pPr>
            <w:r w:rsidRPr="002033A5">
              <w:rPr>
                <w:sz w:val="24"/>
                <w:szCs w:val="24"/>
              </w:rPr>
              <w:t>100 %</w:t>
            </w:r>
          </w:p>
        </w:tc>
        <w:tc>
          <w:tcPr>
            <w:tcW w:w="1953"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619E090" w14:textId="77777777" w:rsidR="00BE32C1" w:rsidRPr="002033A5" w:rsidRDefault="00BE32C1">
            <w:pPr>
              <w:spacing w:before="60" w:after="60" w:line="276" w:lineRule="auto"/>
              <w:jc w:val="center"/>
              <w:rPr>
                <w:sz w:val="24"/>
                <w:szCs w:val="24"/>
              </w:rPr>
            </w:pPr>
          </w:p>
        </w:tc>
      </w:tr>
    </w:tbl>
    <w:p w14:paraId="66602DEF" w14:textId="77777777" w:rsidR="00245983" w:rsidRPr="002033A5" w:rsidRDefault="00245983">
      <w:pPr>
        <w:jc w:val="both"/>
        <w:rPr>
          <w:sz w:val="24"/>
          <w:szCs w:val="24"/>
          <w:lang w:eastAsia="en-GB"/>
        </w:rPr>
      </w:pPr>
    </w:p>
    <w:p w14:paraId="12CF1E6A" w14:textId="77777777" w:rsidR="00BE32C1" w:rsidRPr="002033A5" w:rsidRDefault="00BE32C1" w:rsidP="00BE32C1">
      <w:pPr>
        <w:tabs>
          <w:tab w:val="left" w:pos="851"/>
        </w:tabs>
        <w:spacing w:line="276" w:lineRule="auto"/>
        <w:contextualSpacing/>
        <w:jc w:val="both"/>
        <w:rPr>
          <w:sz w:val="24"/>
          <w:szCs w:val="24"/>
        </w:rPr>
      </w:pPr>
      <w:r w:rsidRPr="002033A5">
        <w:rPr>
          <w:sz w:val="24"/>
          <w:szCs w:val="24"/>
        </w:rPr>
        <w:t>Grille de notation</w:t>
      </w:r>
    </w:p>
    <w:p w14:paraId="2ECE9443" w14:textId="77777777" w:rsidR="00BE32C1" w:rsidRPr="002033A5" w:rsidRDefault="00BE32C1" w:rsidP="00BE32C1">
      <w:pPr>
        <w:tabs>
          <w:tab w:val="left" w:pos="851"/>
        </w:tabs>
        <w:spacing w:line="276" w:lineRule="auto"/>
        <w:contextualSpacing/>
        <w:jc w:val="both"/>
        <w:rPr>
          <w:sz w:val="24"/>
          <w:szCs w:val="24"/>
        </w:rPr>
      </w:pPr>
    </w:p>
    <w:p w14:paraId="461A9A51" w14:textId="77777777" w:rsidR="00BE32C1" w:rsidRPr="002033A5" w:rsidRDefault="00BE32C1" w:rsidP="00BE32C1">
      <w:pPr>
        <w:tabs>
          <w:tab w:val="left" w:pos="851"/>
        </w:tabs>
        <w:spacing w:line="276" w:lineRule="auto"/>
        <w:contextualSpacing/>
        <w:jc w:val="both"/>
        <w:rPr>
          <w:sz w:val="24"/>
          <w:szCs w:val="24"/>
        </w:rPr>
      </w:pPr>
      <w:r w:rsidRPr="002033A5">
        <w:rPr>
          <w:sz w:val="24"/>
          <w:szCs w:val="24"/>
        </w:rPr>
        <w:t xml:space="preserve">La grille de notation suivante sera utilisée par la commission d’évaluation technique pour réaliser l’évaluation technique de manière objective. </w:t>
      </w:r>
    </w:p>
    <w:p w14:paraId="059EF650" w14:textId="77777777" w:rsidR="00BE32C1" w:rsidRPr="002033A5" w:rsidRDefault="00BE32C1" w:rsidP="00BE32C1">
      <w:pPr>
        <w:pStyle w:val="ListParagraph"/>
        <w:tabs>
          <w:tab w:val="left" w:pos="851"/>
        </w:tabs>
        <w:spacing w:line="276" w:lineRule="auto"/>
        <w:ind w:left="1418"/>
        <w:contextualSpacing/>
        <w:jc w:val="both"/>
        <w:rPr>
          <w:sz w:val="24"/>
          <w:szCs w:val="24"/>
        </w:rPr>
      </w:pPr>
    </w:p>
    <w:tbl>
      <w:tblPr>
        <w:tblW w:w="8550" w:type="dxa"/>
        <w:tblInd w:w="-8" w:type="dxa"/>
        <w:tblBorders>
          <w:top w:val="single" w:sz="6" w:space="0" w:color="000080"/>
          <w:left w:val="single" w:sz="6" w:space="0" w:color="000080"/>
          <w:bottom w:val="single" w:sz="6" w:space="0" w:color="000080"/>
          <w:insideH w:val="single" w:sz="6" w:space="0" w:color="000080"/>
        </w:tblBorders>
        <w:tblCellMar>
          <w:left w:w="92" w:type="dxa"/>
        </w:tblCellMar>
        <w:tblLook w:val="04A0" w:firstRow="1" w:lastRow="0" w:firstColumn="1" w:lastColumn="0" w:noHBand="0" w:noVBand="1"/>
      </w:tblPr>
      <w:tblGrid>
        <w:gridCol w:w="6504"/>
        <w:gridCol w:w="2046"/>
      </w:tblGrid>
      <w:tr w:rsidR="00BE32C1" w:rsidRPr="002033A5" w14:paraId="02E9160E" w14:textId="77777777" w:rsidTr="00BE32C1">
        <w:tc>
          <w:tcPr>
            <w:tcW w:w="6504" w:type="dxa"/>
            <w:tcBorders>
              <w:top w:val="single" w:sz="6" w:space="0" w:color="000080"/>
              <w:left w:val="single" w:sz="6" w:space="0" w:color="000080"/>
              <w:bottom w:val="single" w:sz="6" w:space="0" w:color="000080"/>
              <w:right w:val="nil"/>
            </w:tcBorders>
            <w:shd w:val="clear" w:color="auto" w:fill="000080"/>
            <w:vAlign w:val="center"/>
            <w:hideMark/>
          </w:tcPr>
          <w:p w14:paraId="3E5C0938" w14:textId="77777777" w:rsidR="00BE32C1" w:rsidRPr="002033A5" w:rsidRDefault="00BE32C1">
            <w:pPr>
              <w:spacing w:line="276" w:lineRule="auto"/>
              <w:jc w:val="center"/>
              <w:rPr>
                <w:b/>
                <w:sz w:val="24"/>
                <w:szCs w:val="24"/>
              </w:rPr>
            </w:pPr>
            <w:r w:rsidRPr="002033A5">
              <w:rPr>
                <w:b/>
                <w:color w:val="FFFFFF" w:themeColor="background1"/>
                <w:sz w:val="24"/>
                <w:szCs w:val="24"/>
              </w:rPr>
              <w:t>Respect des spécifications du cahier des charges sur la base des preuves fournies dans la soumission</w:t>
            </w:r>
          </w:p>
        </w:tc>
        <w:tc>
          <w:tcPr>
            <w:tcW w:w="2046" w:type="dxa"/>
            <w:tcBorders>
              <w:top w:val="single" w:sz="6" w:space="0" w:color="000080"/>
              <w:left w:val="single" w:sz="6" w:space="0" w:color="000080"/>
              <w:bottom w:val="single" w:sz="6" w:space="0" w:color="000080"/>
              <w:right w:val="single" w:sz="6" w:space="0" w:color="000080"/>
            </w:tcBorders>
            <w:shd w:val="clear" w:color="auto" w:fill="000080"/>
            <w:tcMar>
              <w:top w:w="0" w:type="dxa"/>
              <w:left w:w="99" w:type="dxa"/>
              <w:bottom w:w="0" w:type="dxa"/>
              <w:right w:w="108" w:type="dxa"/>
            </w:tcMar>
            <w:vAlign w:val="center"/>
            <w:hideMark/>
          </w:tcPr>
          <w:p w14:paraId="6BDA7EFC" w14:textId="77777777" w:rsidR="00BE32C1" w:rsidRPr="002033A5" w:rsidRDefault="00BE32C1">
            <w:pPr>
              <w:spacing w:line="276" w:lineRule="auto"/>
              <w:jc w:val="center"/>
              <w:rPr>
                <w:b/>
                <w:color w:val="FFFFFF" w:themeColor="background1"/>
                <w:sz w:val="24"/>
                <w:szCs w:val="24"/>
              </w:rPr>
            </w:pPr>
            <w:r w:rsidRPr="002033A5">
              <w:rPr>
                <w:b/>
                <w:color w:val="FFFFFF" w:themeColor="background1"/>
                <w:sz w:val="24"/>
                <w:szCs w:val="24"/>
              </w:rPr>
              <w:t xml:space="preserve">Points </w:t>
            </w:r>
          </w:p>
          <w:p w14:paraId="38467AFD" w14:textId="77777777" w:rsidR="00BE32C1" w:rsidRPr="002033A5" w:rsidRDefault="00BE32C1">
            <w:pPr>
              <w:spacing w:line="276" w:lineRule="auto"/>
              <w:jc w:val="center"/>
              <w:rPr>
                <w:b/>
                <w:color w:val="00000A"/>
                <w:sz w:val="24"/>
                <w:szCs w:val="24"/>
              </w:rPr>
            </w:pPr>
            <w:r w:rsidRPr="002033A5">
              <w:rPr>
                <w:b/>
                <w:color w:val="FFFFFF" w:themeColor="background1"/>
                <w:sz w:val="24"/>
                <w:szCs w:val="24"/>
              </w:rPr>
              <w:t>Sur 100</w:t>
            </w:r>
          </w:p>
        </w:tc>
      </w:tr>
      <w:tr w:rsidR="00BE32C1" w:rsidRPr="002033A5" w14:paraId="782A0029" w14:textId="77777777" w:rsidTr="00BE32C1">
        <w:trPr>
          <w:trHeight w:val="395"/>
        </w:trPr>
        <w:tc>
          <w:tcPr>
            <w:tcW w:w="6504" w:type="dxa"/>
            <w:tcBorders>
              <w:top w:val="single" w:sz="6" w:space="0" w:color="000080"/>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42FFB7E8" w14:textId="77777777" w:rsidR="00BE32C1" w:rsidRPr="002033A5" w:rsidRDefault="00BE32C1">
            <w:pPr>
              <w:spacing w:line="276" w:lineRule="auto"/>
              <w:rPr>
                <w:sz w:val="24"/>
                <w:szCs w:val="24"/>
              </w:rPr>
            </w:pPr>
            <w:r w:rsidRPr="002033A5">
              <w:rPr>
                <w:sz w:val="24"/>
                <w:szCs w:val="24"/>
              </w:rPr>
              <w:t>Dépassement significatif des exigences</w:t>
            </w:r>
          </w:p>
        </w:tc>
        <w:tc>
          <w:tcPr>
            <w:tcW w:w="2046" w:type="dxa"/>
            <w:tcBorders>
              <w:top w:val="single" w:sz="6" w:space="0" w:color="000080"/>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673F0830" w14:textId="77777777" w:rsidR="00BE32C1" w:rsidRPr="002033A5" w:rsidRDefault="00BE32C1">
            <w:pPr>
              <w:spacing w:line="276" w:lineRule="auto"/>
              <w:jc w:val="center"/>
              <w:rPr>
                <w:sz w:val="24"/>
                <w:szCs w:val="24"/>
              </w:rPr>
            </w:pPr>
            <w:r w:rsidRPr="002033A5">
              <w:rPr>
                <w:sz w:val="24"/>
                <w:szCs w:val="24"/>
              </w:rPr>
              <w:t>90 – 100</w:t>
            </w:r>
          </w:p>
        </w:tc>
      </w:tr>
      <w:tr w:rsidR="00BE32C1" w:rsidRPr="002033A5" w14:paraId="03DF16AF" w14:textId="77777777" w:rsidTr="00BE32C1">
        <w:trPr>
          <w:trHeight w:val="548"/>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7E552638" w14:textId="77777777" w:rsidR="00BE32C1" w:rsidRPr="002033A5" w:rsidRDefault="00BE32C1">
            <w:pPr>
              <w:spacing w:line="276" w:lineRule="auto"/>
              <w:rPr>
                <w:sz w:val="24"/>
                <w:szCs w:val="24"/>
              </w:rPr>
            </w:pPr>
            <w:r w:rsidRPr="002033A5">
              <w:rPr>
                <w:sz w:val="24"/>
                <w:szCs w:val="24"/>
              </w:rPr>
              <w:t>Dépassement des 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23A81FF7" w14:textId="77777777" w:rsidR="00BE32C1" w:rsidRPr="002033A5" w:rsidRDefault="00BE32C1">
            <w:pPr>
              <w:spacing w:line="276" w:lineRule="auto"/>
              <w:jc w:val="center"/>
              <w:rPr>
                <w:sz w:val="24"/>
                <w:szCs w:val="24"/>
              </w:rPr>
            </w:pPr>
            <w:r w:rsidRPr="002033A5">
              <w:rPr>
                <w:sz w:val="24"/>
                <w:szCs w:val="24"/>
              </w:rPr>
              <w:t xml:space="preserve">80 – 89 </w:t>
            </w:r>
          </w:p>
        </w:tc>
      </w:tr>
      <w:tr w:rsidR="00BE32C1" w:rsidRPr="002033A5" w14:paraId="37F793B0" w14:textId="77777777" w:rsidTr="00BE32C1">
        <w:trPr>
          <w:trHeight w:val="503"/>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2075E3C9" w14:textId="77777777" w:rsidR="00BE32C1" w:rsidRPr="002033A5" w:rsidRDefault="00BE32C1">
            <w:pPr>
              <w:spacing w:line="276" w:lineRule="auto"/>
              <w:rPr>
                <w:sz w:val="24"/>
                <w:szCs w:val="24"/>
              </w:rPr>
            </w:pPr>
            <w:r w:rsidRPr="002033A5">
              <w:rPr>
                <w:sz w:val="24"/>
                <w:szCs w:val="24"/>
              </w:rPr>
              <w:t>Respect des 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65B04FF0" w14:textId="77777777" w:rsidR="00BE32C1" w:rsidRPr="002033A5" w:rsidRDefault="00BE32C1">
            <w:pPr>
              <w:spacing w:line="276" w:lineRule="auto"/>
              <w:jc w:val="center"/>
              <w:rPr>
                <w:sz w:val="24"/>
                <w:szCs w:val="24"/>
              </w:rPr>
            </w:pPr>
            <w:r w:rsidRPr="002033A5">
              <w:rPr>
                <w:sz w:val="24"/>
                <w:szCs w:val="24"/>
              </w:rPr>
              <w:t>70 – 79</w:t>
            </w:r>
          </w:p>
        </w:tc>
      </w:tr>
      <w:tr w:rsidR="00BE32C1" w:rsidRPr="002033A5" w14:paraId="243AC21E" w14:textId="77777777" w:rsidTr="00BE32C1">
        <w:trPr>
          <w:trHeight w:val="476"/>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2FE99730" w14:textId="77777777" w:rsidR="00BE32C1" w:rsidRPr="002033A5" w:rsidRDefault="00BE32C1">
            <w:pPr>
              <w:spacing w:line="276" w:lineRule="auto"/>
              <w:rPr>
                <w:sz w:val="24"/>
                <w:szCs w:val="24"/>
              </w:rPr>
            </w:pPr>
            <w:r w:rsidRPr="002033A5">
              <w:rPr>
                <w:sz w:val="24"/>
                <w:szCs w:val="24"/>
              </w:rPr>
              <w:t>Respect partiel des 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2F59D485" w14:textId="77777777" w:rsidR="00BE32C1" w:rsidRPr="002033A5" w:rsidRDefault="00BE32C1">
            <w:pPr>
              <w:spacing w:line="276" w:lineRule="auto"/>
              <w:jc w:val="center"/>
              <w:rPr>
                <w:sz w:val="24"/>
                <w:szCs w:val="24"/>
              </w:rPr>
            </w:pPr>
            <w:r w:rsidRPr="002033A5">
              <w:rPr>
                <w:sz w:val="24"/>
                <w:szCs w:val="24"/>
              </w:rPr>
              <w:t>1 –  69</w:t>
            </w:r>
          </w:p>
        </w:tc>
      </w:tr>
      <w:tr w:rsidR="00BE32C1" w:rsidRPr="002033A5" w14:paraId="3D4B37C8" w14:textId="77777777" w:rsidTr="00BE32C1">
        <w:trPr>
          <w:trHeight w:hRule="exact" w:val="613"/>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7D35BD88" w14:textId="77777777" w:rsidR="00BE32C1" w:rsidRPr="002033A5" w:rsidRDefault="00BE32C1">
            <w:pPr>
              <w:spacing w:line="276" w:lineRule="auto"/>
              <w:rPr>
                <w:sz w:val="24"/>
                <w:szCs w:val="24"/>
              </w:rPr>
            </w:pPr>
            <w:r w:rsidRPr="002033A5">
              <w:rPr>
                <w:sz w:val="24"/>
                <w:szCs w:val="24"/>
              </w:rPr>
              <w:lastRenderedPageBreak/>
              <w:t>Non-respect des exigences ou informations servant à l’évaluation du respect des exigences</w:t>
            </w:r>
          </w:p>
          <w:p w14:paraId="11B4F2EF" w14:textId="77777777" w:rsidR="00BE32C1" w:rsidRPr="002033A5" w:rsidRDefault="00BE32C1">
            <w:pPr>
              <w:spacing w:line="276" w:lineRule="auto"/>
              <w:rPr>
                <w:sz w:val="24"/>
                <w:szCs w:val="24"/>
              </w:rPr>
            </w:pPr>
            <w:r w:rsidRPr="002033A5">
              <w:rPr>
                <w:sz w:val="24"/>
                <w:szCs w:val="24"/>
              </w:rPr>
              <w:t>non communiquées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65D87D49" w14:textId="77777777" w:rsidR="00BE32C1" w:rsidRPr="002033A5" w:rsidRDefault="00BE32C1">
            <w:pPr>
              <w:spacing w:line="276" w:lineRule="auto"/>
              <w:jc w:val="center"/>
              <w:rPr>
                <w:sz w:val="24"/>
                <w:szCs w:val="24"/>
              </w:rPr>
            </w:pPr>
            <w:r w:rsidRPr="002033A5">
              <w:rPr>
                <w:sz w:val="24"/>
                <w:szCs w:val="24"/>
              </w:rPr>
              <w:t>0</w:t>
            </w:r>
          </w:p>
        </w:tc>
      </w:tr>
    </w:tbl>
    <w:p w14:paraId="09A7BA78" w14:textId="77777777" w:rsidR="00BE32C1" w:rsidRPr="002033A5" w:rsidRDefault="00BE32C1">
      <w:pPr>
        <w:jc w:val="both"/>
        <w:rPr>
          <w:sz w:val="24"/>
          <w:szCs w:val="24"/>
          <w:lang w:eastAsia="en-GB"/>
        </w:rPr>
      </w:pPr>
    </w:p>
    <w:p w14:paraId="02A933A9" w14:textId="77777777" w:rsidR="004302B5" w:rsidRPr="002033A5" w:rsidRDefault="004302B5" w:rsidP="004302B5">
      <w:pPr>
        <w:pStyle w:val="Titre2"/>
        <w:numPr>
          <w:ilvl w:val="0"/>
          <w:numId w:val="0"/>
        </w:numPr>
        <w:rPr>
          <w:rFonts w:ascii="Times New Roman" w:hAnsi="Times New Roman" w:cs="Times New Roman"/>
          <w:color w:val="FF0000"/>
          <w:sz w:val="24"/>
          <w:szCs w:val="24"/>
        </w:rPr>
      </w:pPr>
      <w:bookmarkStart w:id="1" w:name="_Toc419381633"/>
      <w:r w:rsidRPr="002033A5">
        <w:rPr>
          <w:rFonts w:ascii="Times New Roman" w:hAnsi="Times New Roman" w:cs="Times New Roman"/>
          <w:color w:val="auto"/>
          <w:sz w:val="24"/>
          <w:szCs w:val="24"/>
        </w:rPr>
        <w:t xml:space="preserve">Évaluation financière </w:t>
      </w:r>
      <w:bookmarkEnd w:id="1"/>
    </w:p>
    <w:p w14:paraId="302F985D" w14:textId="77777777" w:rsidR="004302B5" w:rsidRPr="002033A5" w:rsidRDefault="004302B5" w:rsidP="004302B5">
      <w:pPr>
        <w:rPr>
          <w:sz w:val="24"/>
          <w:szCs w:val="24"/>
          <w:lang w:eastAsia="en-GB"/>
        </w:rPr>
      </w:pPr>
    </w:p>
    <w:p w14:paraId="2CF4E395" w14:textId="77777777" w:rsidR="004302B5" w:rsidRPr="002033A5" w:rsidRDefault="004302B5" w:rsidP="004302B5">
      <w:pPr>
        <w:tabs>
          <w:tab w:val="left" w:pos="851"/>
        </w:tabs>
        <w:spacing w:line="276" w:lineRule="auto"/>
        <w:contextualSpacing/>
        <w:jc w:val="both"/>
        <w:rPr>
          <w:sz w:val="24"/>
          <w:szCs w:val="24"/>
        </w:rPr>
      </w:pPr>
      <w:r w:rsidRPr="002033A5">
        <w:rPr>
          <w:sz w:val="24"/>
          <w:szCs w:val="24"/>
        </w:rPr>
        <w:t>L’évaluation financière ne sera effectuée que si l’offre technique atteint le score minimum</w:t>
      </w:r>
      <w:r w:rsidRPr="002033A5">
        <w:rPr>
          <w:i/>
          <w:sz w:val="24"/>
          <w:szCs w:val="24"/>
        </w:rPr>
        <w:t xml:space="preserve"> </w:t>
      </w:r>
      <w:r w:rsidRPr="002033A5">
        <w:rPr>
          <w:sz w:val="24"/>
          <w:szCs w:val="24"/>
        </w:rPr>
        <w:t>70 points. Les offres n’atteignant pas ce seuil technique minimum ou les offres non qualifiées par le processus de qualification du fournisseur ne seront pas retenues pour le reste de la procédure d’évaluation.</w:t>
      </w:r>
    </w:p>
    <w:p w14:paraId="49CB93A9" w14:textId="77777777" w:rsidR="004302B5" w:rsidRPr="002033A5" w:rsidRDefault="004302B5" w:rsidP="004302B5">
      <w:pPr>
        <w:rPr>
          <w:sz w:val="24"/>
          <w:szCs w:val="24"/>
          <w:lang w:eastAsia="en-GB"/>
        </w:rPr>
      </w:pPr>
    </w:p>
    <w:p w14:paraId="21EC8DA4" w14:textId="77777777" w:rsidR="004302B5" w:rsidRPr="002033A5" w:rsidRDefault="004302B5" w:rsidP="004302B5">
      <w:pPr>
        <w:rPr>
          <w:sz w:val="24"/>
          <w:szCs w:val="24"/>
          <w:lang w:eastAsia="en-GB"/>
        </w:rPr>
      </w:pPr>
    </w:p>
    <w:p w14:paraId="0B029EDA" w14:textId="77777777" w:rsidR="004302B5" w:rsidRPr="002033A5" w:rsidRDefault="004302B5" w:rsidP="004302B5">
      <w:pPr>
        <w:rPr>
          <w:sz w:val="24"/>
          <w:szCs w:val="24"/>
          <w:lang w:eastAsia="en-GB"/>
        </w:rPr>
      </w:pPr>
      <w:r w:rsidRPr="002033A5">
        <w:rPr>
          <w:sz w:val="24"/>
          <w:szCs w:val="24"/>
          <w:lang w:eastAsia="en-GB"/>
        </w:rPr>
        <w:t>Les offres de prix seront évaluées uniquement pour les soumissionnaires dont les propositions techniques obtiennent une note minimale de 70 points dans l'évaluation technique. Le mot de passe du fichier de proposition financière sera demandé à la fin de l'évaluation de la proposition technique et uniquement pour les soumissionnaires ayant réussi la phase technique.</w:t>
      </w:r>
    </w:p>
    <w:p w14:paraId="7E94D59A" w14:textId="77777777" w:rsidR="004302B5" w:rsidRPr="002033A5" w:rsidRDefault="004302B5" w:rsidP="004302B5">
      <w:pPr>
        <w:rPr>
          <w:sz w:val="24"/>
          <w:szCs w:val="24"/>
          <w:lang w:eastAsia="en-GB"/>
        </w:rPr>
      </w:pPr>
    </w:p>
    <w:p w14:paraId="2ED36EEE" w14:textId="77777777" w:rsidR="004302B5" w:rsidRPr="002033A5" w:rsidRDefault="004302B5" w:rsidP="004302B5">
      <w:pPr>
        <w:rPr>
          <w:sz w:val="24"/>
          <w:szCs w:val="24"/>
          <w:lang w:eastAsia="en-GB"/>
        </w:rPr>
      </w:pPr>
    </w:p>
    <w:p w14:paraId="00536F37" w14:textId="77777777" w:rsidR="004302B5" w:rsidRPr="002033A5" w:rsidRDefault="004302B5" w:rsidP="004302B5">
      <w:pPr>
        <w:rPr>
          <w:sz w:val="24"/>
          <w:szCs w:val="24"/>
          <w:lang w:eastAsia="en-GB"/>
        </w:rPr>
      </w:pPr>
    </w:p>
    <w:p w14:paraId="1BDE40CA" w14:textId="77777777" w:rsidR="004302B5" w:rsidRPr="002033A5" w:rsidRDefault="004302B5" w:rsidP="004302B5">
      <w:pPr>
        <w:rPr>
          <w:sz w:val="24"/>
          <w:szCs w:val="24"/>
          <w:lang w:eastAsia="en-GB"/>
        </w:rPr>
      </w:pPr>
    </w:p>
    <w:p w14:paraId="38683484" w14:textId="44630198" w:rsidR="004302B5" w:rsidRPr="002033A5" w:rsidRDefault="004302B5" w:rsidP="004302B5">
      <w:pPr>
        <w:pStyle w:val="ListParagraph"/>
        <w:tabs>
          <w:tab w:val="left" w:pos="851"/>
        </w:tabs>
        <w:spacing w:line="276" w:lineRule="auto"/>
        <w:ind w:left="131"/>
        <w:contextualSpacing/>
        <w:jc w:val="both"/>
        <w:textAlignment w:val="auto"/>
        <w:rPr>
          <w:sz w:val="24"/>
          <w:szCs w:val="24"/>
        </w:rPr>
      </w:pPr>
      <w:r w:rsidRPr="002033A5">
        <w:rPr>
          <w:sz w:val="24"/>
          <w:szCs w:val="24"/>
        </w:rPr>
        <w:t xml:space="preserve">L’offre financière sera évaluée en fonction de sa conformité au formulaire de bordereau des </w:t>
      </w:r>
      <w:r w:rsidR="00FF23CE" w:rsidRPr="002033A5">
        <w:rPr>
          <w:sz w:val="24"/>
          <w:szCs w:val="24"/>
        </w:rPr>
        <w:t>prix Le</w:t>
      </w:r>
      <w:r w:rsidRPr="002033A5">
        <w:rPr>
          <w:sz w:val="24"/>
          <w:szCs w:val="24"/>
        </w:rPr>
        <w:t xml:space="preserve"> nombre maximum de points pour l’offre financière est de 100. Le nombre maximum de points sera accordé à l’offre moins-disante. Toutes les autres offres financières recevront un nombre de points inversement proportionnel à leur prix, calculé en utilisant la formule suivante :</w:t>
      </w:r>
    </w:p>
    <w:p w14:paraId="10B3777C" w14:textId="77777777" w:rsidR="004302B5" w:rsidRPr="002033A5" w:rsidRDefault="004302B5" w:rsidP="004302B5">
      <w:pPr>
        <w:pStyle w:val="ListParagraph"/>
        <w:tabs>
          <w:tab w:val="left" w:pos="851"/>
        </w:tabs>
        <w:spacing w:line="276" w:lineRule="auto"/>
        <w:ind w:left="851"/>
        <w:contextualSpacing/>
        <w:jc w:val="both"/>
        <w:rPr>
          <w:sz w:val="24"/>
          <w:szCs w:val="24"/>
        </w:rPr>
      </w:pPr>
    </w:p>
    <w:tbl>
      <w:tblPr>
        <w:tblW w:w="6523" w:type="dxa"/>
        <w:jc w:val="center"/>
        <w:tblBorders>
          <w:top w:val="single" w:sz="4" w:space="0" w:color="00000A"/>
          <w:left w:val="single" w:sz="4" w:space="0" w:color="00000A"/>
          <w:bottom w:val="single" w:sz="4" w:space="0" w:color="00000A"/>
          <w:insideH w:val="single" w:sz="4" w:space="0" w:color="00000A"/>
        </w:tblBorders>
        <w:tblCellMar>
          <w:left w:w="103" w:type="dxa"/>
        </w:tblCellMar>
        <w:tblLook w:val="04A0" w:firstRow="1" w:lastRow="0" w:firstColumn="1" w:lastColumn="0" w:noHBand="0" w:noVBand="1"/>
      </w:tblPr>
      <w:tblGrid>
        <w:gridCol w:w="1817"/>
        <w:gridCol w:w="2137"/>
        <w:gridCol w:w="2569"/>
      </w:tblGrid>
      <w:tr w:rsidR="004302B5" w:rsidRPr="002033A5" w14:paraId="32988707" w14:textId="77777777" w:rsidTr="004302B5">
        <w:trPr>
          <w:jc w:val="center"/>
        </w:trPr>
        <w:tc>
          <w:tcPr>
            <w:tcW w:w="1817" w:type="dxa"/>
            <w:vMerge w:val="restart"/>
            <w:tcBorders>
              <w:top w:val="single" w:sz="4" w:space="0" w:color="00000A"/>
              <w:left w:val="single" w:sz="4" w:space="0" w:color="00000A"/>
              <w:bottom w:val="single" w:sz="4" w:space="0" w:color="00000A"/>
              <w:right w:val="nil"/>
            </w:tcBorders>
            <w:shd w:val="clear" w:color="auto" w:fill="FFFFFF"/>
            <w:vAlign w:val="center"/>
            <w:hideMark/>
          </w:tcPr>
          <w:p w14:paraId="4FFB871E" w14:textId="77777777" w:rsidR="004302B5" w:rsidRPr="002033A5" w:rsidRDefault="004302B5">
            <w:pPr>
              <w:tabs>
                <w:tab w:val="left" w:pos="0"/>
              </w:tabs>
              <w:spacing w:line="276" w:lineRule="auto"/>
              <w:jc w:val="both"/>
              <w:rPr>
                <w:sz w:val="24"/>
                <w:szCs w:val="24"/>
              </w:rPr>
            </w:pPr>
            <w:r w:rsidRPr="002033A5">
              <w:rPr>
                <w:sz w:val="24"/>
                <w:szCs w:val="24"/>
              </w:rPr>
              <w:t>Score financier=</w:t>
            </w:r>
          </w:p>
        </w:tc>
        <w:tc>
          <w:tcPr>
            <w:tcW w:w="2137" w:type="dxa"/>
            <w:tcBorders>
              <w:top w:val="single" w:sz="4" w:space="0" w:color="00000A"/>
              <w:left w:val="nil"/>
              <w:bottom w:val="single" w:sz="4" w:space="0" w:color="00000A"/>
              <w:right w:val="nil"/>
            </w:tcBorders>
            <w:shd w:val="clear" w:color="auto" w:fill="FFFFFF"/>
            <w:tcMar>
              <w:top w:w="0" w:type="dxa"/>
              <w:left w:w="113" w:type="dxa"/>
              <w:bottom w:w="0" w:type="dxa"/>
              <w:right w:w="108" w:type="dxa"/>
            </w:tcMar>
            <w:hideMark/>
          </w:tcPr>
          <w:p w14:paraId="7F7B7724" w14:textId="77777777" w:rsidR="004302B5" w:rsidRPr="002033A5" w:rsidRDefault="004302B5">
            <w:pPr>
              <w:tabs>
                <w:tab w:val="left" w:pos="0"/>
              </w:tabs>
              <w:spacing w:line="276" w:lineRule="auto"/>
              <w:jc w:val="center"/>
              <w:rPr>
                <w:sz w:val="24"/>
                <w:szCs w:val="24"/>
              </w:rPr>
            </w:pPr>
            <w:r w:rsidRPr="002033A5">
              <w:rPr>
                <w:sz w:val="24"/>
                <w:szCs w:val="24"/>
              </w:rPr>
              <w:t>Offre la moins-disante (USD)</w:t>
            </w:r>
          </w:p>
        </w:tc>
        <w:tc>
          <w:tcPr>
            <w:tcW w:w="2569"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9699D6" w14:textId="77777777" w:rsidR="004302B5" w:rsidRPr="002033A5" w:rsidRDefault="004302B5">
            <w:pPr>
              <w:tabs>
                <w:tab w:val="left" w:pos="0"/>
              </w:tabs>
              <w:spacing w:line="276" w:lineRule="auto"/>
              <w:jc w:val="both"/>
              <w:rPr>
                <w:sz w:val="24"/>
                <w:szCs w:val="24"/>
              </w:rPr>
            </w:pPr>
            <w:r w:rsidRPr="002033A5">
              <w:rPr>
                <w:sz w:val="24"/>
                <w:szCs w:val="24"/>
              </w:rPr>
              <w:t>X 100 (score maximum)</w:t>
            </w:r>
          </w:p>
        </w:tc>
      </w:tr>
      <w:tr w:rsidR="004302B5" w:rsidRPr="002033A5" w14:paraId="59B99513" w14:textId="77777777" w:rsidTr="004302B5">
        <w:trPr>
          <w:jc w:val="center"/>
        </w:trPr>
        <w:tc>
          <w:tcPr>
            <w:tcW w:w="0" w:type="auto"/>
            <w:vMerge/>
            <w:tcBorders>
              <w:top w:val="single" w:sz="4" w:space="0" w:color="00000A"/>
              <w:left w:val="single" w:sz="4" w:space="0" w:color="00000A"/>
              <w:bottom w:val="single" w:sz="4" w:space="0" w:color="00000A"/>
              <w:right w:val="nil"/>
            </w:tcBorders>
            <w:vAlign w:val="center"/>
            <w:hideMark/>
          </w:tcPr>
          <w:p w14:paraId="2080DAAE" w14:textId="77777777" w:rsidR="004302B5" w:rsidRPr="002033A5" w:rsidRDefault="004302B5">
            <w:pPr>
              <w:spacing w:line="276" w:lineRule="auto"/>
              <w:rPr>
                <w:color w:val="00000A"/>
                <w:sz w:val="24"/>
                <w:szCs w:val="24"/>
                <w:lang w:eastAsia="en-GB"/>
              </w:rPr>
            </w:pPr>
          </w:p>
        </w:tc>
        <w:tc>
          <w:tcPr>
            <w:tcW w:w="2137" w:type="dxa"/>
            <w:tcBorders>
              <w:top w:val="single" w:sz="4" w:space="0" w:color="00000A"/>
              <w:left w:val="nil"/>
              <w:bottom w:val="single" w:sz="4" w:space="0" w:color="00000A"/>
              <w:right w:val="nil"/>
            </w:tcBorders>
            <w:shd w:val="clear" w:color="auto" w:fill="FFFFFF"/>
            <w:tcMar>
              <w:top w:w="0" w:type="dxa"/>
              <w:left w:w="113" w:type="dxa"/>
              <w:bottom w:w="0" w:type="dxa"/>
              <w:right w:w="108" w:type="dxa"/>
            </w:tcMar>
            <w:hideMark/>
          </w:tcPr>
          <w:p w14:paraId="0A521576" w14:textId="77777777" w:rsidR="004302B5" w:rsidRPr="002033A5" w:rsidRDefault="004302B5">
            <w:pPr>
              <w:tabs>
                <w:tab w:val="left" w:pos="0"/>
              </w:tabs>
              <w:spacing w:line="276" w:lineRule="auto"/>
              <w:jc w:val="center"/>
              <w:rPr>
                <w:sz w:val="24"/>
                <w:szCs w:val="24"/>
              </w:rPr>
            </w:pPr>
            <w:r w:rsidRPr="002033A5">
              <w:rPr>
                <w:sz w:val="24"/>
                <w:szCs w:val="24"/>
              </w:rPr>
              <w:t>Offre en cours d’évaluation (USD)</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A0E17F4" w14:textId="77777777" w:rsidR="004302B5" w:rsidRPr="002033A5" w:rsidRDefault="004302B5">
            <w:pPr>
              <w:spacing w:line="276" w:lineRule="auto"/>
              <w:rPr>
                <w:color w:val="00000A"/>
                <w:sz w:val="24"/>
                <w:szCs w:val="24"/>
                <w:lang w:eastAsia="en-GB"/>
              </w:rPr>
            </w:pPr>
          </w:p>
        </w:tc>
      </w:tr>
    </w:tbl>
    <w:p w14:paraId="3F98E4E6" w14:textId="77777777" w:rsidR="004302B5" w:rsidRPr="002033A5" w:rsidRDefault="004302B5" w:rsidP="004302B5">
      <w:pPr>
        <w:tabs>
          <w:tab w:val="left" w:pos="851"/>
        </w:tabs>
        <w:spacing w:line="276" w:lineRule="auto"/>
        <w:jc w:val="both"/>
        <w:rPr>
          <w:color w:val="00000A"/>
          <w:sz w:val="24"/>
          <w:szCs w:val="24"/>
          <w:lang w:eastAsia="en-GB"/>
        </w:rPr>
      </w:pPr>
    </w:p>
    <w:p w14:paraId="67923414" w14:textId="77777777" w:rsidR="004302B5" w:rsidRPr="002033A5" w:rsidRDefault="004302B5" w:rsidP="004302B5">
      <w:pPr>
        <w:pStyle w:val="Titre2"/>
        <w:numPr>
          <w:ilvl w:val="0"/>
          <w:numId w:val="0"/>
        </w:numPr>
        <w:rPr>
          <w:rFonts w:ascii="Times New Roman" w:hAnsi="Times New Roman" w:cs="Times New Roman"/>
          <w:sz w:val="24"/>
          <w:szCs w:val="24"/>
        </w:rPr>
      </w:pPr>
      <w:bookmarkStart w:id="2" w:name="__RefHeading___Toc1596653_762275188"/>
      <w:bookmarkStart w:id="3" w:name="_Toc419381634"/>
      <w:bookmarkEnd w:id="2"/>
      <w:r w:rsidRPr="002033A5">
        <w:rPr>
          <w:rFonts w:ascii="Times New Roman" w:hAnsi="Times New Roman" w:cs="Times New Roman"/>
          <w:color w:val="auto"/>
          <w:sz w:val="24"/>
          <w:szCs w:val="24"/>
        </w:rPr>
        <w:t xml:space="preserve">Score total </w:t>
      </w:r>
      <w:bookmarkEnd w:id="3"/>
    </w:p>
    <w:p w14:paraId="6EE4CC03" w14:textId="77777777" w:rsidR="004302B5" w:rsidRPr="002033A5" w:rsidRDefault="004302B5" w:rsidP="004302B5">
      <w:pPr>
        <w:pStyle w:val="ListParagraph"/>
        <w:tabs>
          <w:tab w:val="left" w:pos="851"/>
        </w:tabs>
        <w:spacing w:line="276" w:lineRule="auto"/>
        <w:ind w:left="349"/>
        <w:contextualSpacing/>
        <w:jc w:val="both"/>
        <w:textAlignment w:val="auto"/>
        <w:rPr>
          <w:sz w:val="24"/>
          <w:szCs w:val="24"/>
        </w:rPr>
      </w:pPr>
      <w:r w:rsidRPr="002033A5">
        <w:rPr>
          <w:sz w:val="24"/>
          <w:szCs w:val="24"/>
        </w:rPr>
        <w:t>Le score total de chaque soumissionnaire est constitué de la somme des scores technique et financier. Le score total maximum est de 100 points.</w:t>
      </w:r>
    </w:p>
    <w:p w14:paraId="5A738CBE" w14:textId="77777777" w:rsidR="004302B5" w:rsidRPr="002033A5" w:rsidRDefault="004302B5" w:rsidP="004302B5">
      <w:pPr>
        <w:rPr>
          <w:sz w:val="24"/>
          <w:szCs w:val="24"/>
        </w:rPr>
      </w:pPr>
      <w:r w:rsidRPr="002033A5">
        <w:rPr>
          <w:noProof/>
          <w:sz w:val="24"/>
          <w:szCs w:val="24"/>
          <w:lang w:val="en-US"/>
        </w:rPr>
        <mc:AlternateContent>
          <mc:Choice Requires="wps">
            <w:drawing>
              <wp:anchor distT="0" distB="22860" distL="114300" distR="128905" simplePos="0" relativeHeight="251658240" behindDoc="0" locked="0" layoutInCell="1" allowOverlap="1" wp14:anchorId="3B5F3875" wp14:editId="4F05C49C">
                <wp:simplePos x="0" y="0"/>
                <wp:positionH relativeFrom="column">
                  <wp:posOffset>704850</wp:posOffset>
                </wp:positionH>
                <wp:positionV relativeFrom="paragraph">
                  <wp:posOffset>117475</wp:posOffset>
                </wp:positionV>
                <wp:extent cx="4781550" cy="476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781550" cy="4762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79BFD08" w14:textId="77777777" w:rsidR="009C2C3A" w:rsidRDefault="009C2C3A" w:rsidP="004302B5">
                            <w:pPr>
                              <w:pStyle w:val="FrameContents"/>
                              <w:jc w:val="center"/>
                            </w:pPr>
                            <w:r>
                              <w:rPr>
                                <w:rFonts w:ascii="Calibri" w:hAnsi="Calibri" w:cs="Calibri"/>
                                <w:szCs w:val="22"/>
                              </w:rPr>
                              <w:t>Score total = 70% du score technique + [50-30%] du score financier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B5F3875" id="Rectangle 7" o:spid="_x0000_s1026" style="position:absolute;margin-left:55.5pt;margin-top:9.25pt;width:376.5pt;height:37.5pt;z-index:251658240;visibility:visible;mso-wrap-style:square;mso-width-percent:0;mso-height-percent:0;mso-wrap-distance-left:9pt;mso-wrap-distance-top:0;mso-wrap-distance-right:10.15pt;mso-wrap-distance-bottom:1.8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" strokeweight=".26mm">
                <v:textbox>
                  <w:txbxContent>
                    <w:p w14:paraId="479BFD08" w14:textId="77777777" w:rsidR="009C2C3A" w:rsidRDefault="009C2C3A" w:rsidP="004302B5">
                      <w:pPr>
                        <w:pStyle w:val="FrameContents"/>
                        <w:jc w:val="center"/>
                      </w:pPr>
                      <w:r>
                        <w:rPr>
                          <w:rFonts w:ascii="Calibri" w:hAnsi="Calibri" w:cs="Calibri"/>
                          <w:szCs w:val="22"/>
                        </w:rPr>
                        <w:t>Score total = 70% du score technique + [50-30%] du score financier</w:t>
                      </w:r>
                    </w:p>
                  </w:txbxContent>
                </v:textbox>
              </v:rect>
            </w:pict>
          </mc:Fallback>
        </mc:AlternateContent>
      </w:r>
      <w:bookmarkStart w:id="4" w:name="__UnoMark__4605_762275188"/>
      <w:bookmarkEnd w:id="4"/>
    </w:p>
    <w:p w14:paraId="1DEB4664" w14:textId="77777777" w:rsidR="004302B5" w:rsidRPr="002033A5" w:rsidRDefault="004302B5" w:rsidP="004302B5">
      <w:pPr>
        <w:rPr>
          <w:sz w:val="24"/>
          <w:szCs w:val="24"/>
        </w:rPr>
      </w:pPr>
    </w:p>
    <w:p w14:paraId="65F83D59" w14:textId="77777777" w:rsidR="004302B5" w:rsidRPr="002033A5" w:rsidRDefault="004302B5" w:rsidP="004302B5">
      <w:pPr>
        <w:tabs>
          <w:tab w:val="left" w:pos="8835"/>
        </w:tabs>
        <w:spacing w:line="276" w:lineRule="auto"/>
        <w:jc w:val="both"/>
        <w:rPr>
          <w:sz w:val="24"/>
          <w:szCs w:val="24"/>
        </w:rPr>
      </w:pPr>
      <w:r w:rsidRPr="002033A5">
        <w:rPr>
          <w:sz w:val="24"/>
          <w:szCs w:val="24"/>
        </w:rPr>
        <w:tab/>
      </w:r>
    </w:p>
    <w:p w14:paraId="7F56630F" w14:textId="77777777" w:rsidR="004302B5" w:rsidRPr="002033A5" w:rsidRDefault="004302B5" w:rsidP="004302B5">
      <w:pPr>
        <w:tabs>
          <w:tab w:val="left" w:pos="8835"/>
        </w:tabs>
        <w:spacing w:line="276" w:lineRule="auto"/>
        <w:jc w:val="both"/>
        <w:rPr>
          <w:sz w:val="24"/>
          <w:szCs w:val="24"/>
        </w:rPr>
      </w:pPr>
    </w:p>
    <w:p w14:paraId="30232D96" w14:textId="77777777" w:rsidR="004302B5" w:rsidRPr="002033A5" w:rsidRDefault="004302B5" w:rsidP="004302B5">
      <w:pPr>
        <w:tabs>
          <w:tab w:val="left" w:pos="8835"/>
        </w:tabs>
        <w:spacing w:line="276" w:lineRule="auto"/>
        <w:jc w:val="both"/>
        <w:rPr>
          <w:sz w:val="24"/>
          <w:szCs w:val="24"/>
        </w:rPr>
      </w:pPr>
    </w:p>
    <w:p w14:paraId="5098A623" w14:textId="77777777" w:rsidR="004302B5" w:rsidRPr="002033A5" w:rsidRDefault="004302B5" w:rsidP="004302B5">
      <w:pPr>
        <w:pStyle w:val="Titre2"/>
        <w:numPr>
          <w:ilvl w:val="0"/>
          <w:numId w:val="14"/>
        </w:numPr>
        <w:rPr>
          <w:rFonts w:ascii="Times New Roman" w:hAnsi="Times New Roman" w:cs="Times New Roman"/>
          <w:color w:val="auto"/>
          <w:sz w:val="24"/>
          <w:szCs w:val="24"/>
        </w:rPr>
      </w:pPr>
      <w:bookmarkStart w:id="5" w:name="__RefHeading___Toc1596655_762275188"/>
      <w:bookmarkStart w:id="6" w:name="_Toc368998650"/>
      <w:bookmarkStart w:id="7" w:name="_Toc419381635"/>
      <w:bookmarkEnd w:id="5"/>
      <w:bookmarkEnd w:id="6"/>
      <w:bookmarkEnd w:id="7"/>
      <w:r w:rsidRPr="002033A5">
        <w:rPr>
          <w:rFonts w:ascii="Times New Roman" w:hAnsi="Times New Roman" w:cs="Times New Roman"/>
          <w:color w:val="auto"/>
          <w:sz w:val="24"/>
          <w:szCs w:val="24"/>
        </w:rPr>
        <w:t>Attribution du contrat et considérations finales</w:t>
      </w:r>
    </w:p>
    <w:p w14:paraId="0B2A73F8" w14:textId="77777777" w:rsidR="00BE32C1" w:rsidRPr="002033A5" w:rsidRDefault="00BE32C1">
      <w:pPr>
        <w:jc w:val="both"/>
        <w:rPr>
          <w:sz w:val="24"/>
          <w:szCs w:val="24"/>
          <w:lang w:eastAsia="en-GB"/>
        </w:rPr>
      </w:pPr>
    </w:p>
    <w:p w14:paraId="76AFB01B" w14:textId="77777777" w:rsidR="00245983" w:rsidRPr="002033A5" w:rsidRDefault="00245983">
      <w:pPr>
        <w:jc w:val="both"/>
        <w:rPr>
          <w:sz w:val="24"/>
          <w:szCs w:val="24"/>
          <w:lang w:eastAsia="en-GB"/>
        </w:rPr>
      </w:pPr>
    </w:p>
    <w:p w14:paraId="4D03F2CB" w14:textId="77777777" w:rsidR="00245983" w:rsidRPr="002033A5" w:rsidRDefault="00872FCA">
      <w:pPr>
        <w:pStyle w:val="ListParagraph"/>
        <w:numPr>
          <w:ilvl w:val="0"/>
          <w:numId w:val="3"/>
        </w:numPr>
        <w:jc w:val="both"/>
        <w:rPr>
          <w:b/>
          <w:sz w:val="24"/>
          <w:szCs w:val="24"/>
        </w:rPr>
      </w:pPr>
      <w:r w:rsidRPr="002033A5">
        <w:rPr>
          <w:b/>
          <w:sz w:val="24"/>
          <w:szCs w:val="24"/>
        </w:rPr>
        <w:t xml:space="preserve">Attribution </w:t>
      </w:r>
    </w:p>
    <w:p w14:paraId="2B8640AC" w14:textId="77777777" w:rsidR="00245983" w:rsidRPr="002033A5" w:rsidRDefault="004D3AD4">
      <w:pPr>
        <w:pStyle w:val="letter"/>
        <w:jc w:val="both"/>
        <w:rPr>
          <w:szCs w:val="24"/>
        </w:rPr>
      </w:pPr>
      <w:r w:rsidRPr="002033A5">
        <w:rPr>
          <w:szCs w:val="24"/>
        </w:rPr>
        <w:t>L’UNFPA attribuera un bon de commande</w:t>
      </w:r>
      <w:r w:rsidR="00872FCA" w:rsidRPr="002033A5">
        <w:rPr>
          <w:szCs w:val="24"/>
        </w:rPr>
        <w:t xml:space="preserve"> au soumissionnaire le moins-disant dont l’offre a été jugée substantiellement conforme aux documents d’appel d’offres.</w:t>
      </w:r>
    </w:p>
    <w:p w14:paraId="586BC1AD" w14:textId="77777777" w:rsidR="00245983" w:rsidRPr="002033A5" w:rsidRDefault="00245983">
      <w:pPr>
        <w:spacing w:after="120"/>
        <w:contextualSpacing/>
        <w:jc w:val="both"/>
        <w:rPr>
          <w:bCs/>
          <w:sz w:val="24"/>
          <w:szCs w:val="24"/>
        </w:rPr>
      </w:pPr>
    </w:p>
    <w:p w14:paraId="38F1F6B8" w14:textId="77777777" w:rsidR="00245983" w:rsidRPr="002033A5" w:rsidRDefault="00872FCA">
      <w:pPr>
        <w:pStyle w:val="ListParagraph"/>
        <w:numPr>
          <w:ilvl w:val="0"/>
          <w:numId w:val="3"/>
        </w:numPr>
        <w:jc w:val="both"/>
        <w:rPr>
          <w:b/>
          <w:sz w:val="24"/>
          <w:szCs w:val="24"/>
        </w:rPr>
      </w:pPr>
      <w:r w:rsidRPr="002033A5">
        <w:rPr>
          <w:b/>
          <w:sz w:val="24"/>
          <w:szCs w:val="24"/>
        </w:rPr>
        <w:lastRenderedPageBreak/>
        <w:t xml:space="preserve">Droit de l’UNFPA de modifier les quantités au moment de l’attribution du marché </w:t>
      </w:r>
    </w:p>
    <w:p w14:paraId="3592C7C3" w14:textId="77777777" w:rsidR="00245983" w:rsidRPr="002033A5" w:rsidRDefault="00872FCA">
      <w:pPr>
        <w:pStyle w:val="ListParagraph"/>
        <w:tabs>
          <w:tab w:val="left" w:pos="851"/>
        </w:tabs>
        <w:overflowPunct w:val="0"/>
        <w:spacing w:line="276" w:lineRule="auto"/>
        <w:ind w:left="0"/>
        <w:contextualSpacing/>
        <w:jc w:val="both"/>
        <w:textAlignment w:val="auto"/>
        <w:rPr>
          <w:sz w:val="24"/>
          <w:szCs w:val="24"/>
        </w:rPr>
      </w:pPr>
      <w:r w:rsidRPr="002033A5">
        <w:rPr>
          <w:sz w:val="24"/>
          <w:szCs w:val="24"/>
        </w:rPr>
        <w:t xml:space="preserve">L’UNFPA se réserve le droit, au moment d’attribuer le marché, d’augmenter ou de réduire jusqu’à 20 % les quantités de biens spécifiées dans cette </w:t>
      </w:r>
      <w:r w:rsidR="00656813" w:rsidRPr="002033A5">
        <w:rPr>
          <w:sz w:val="24"/>
          <w:szCs w:val="24"/>
        </w:rPr>
        <w:t>Demande de Cotation</w:t>
      </w:r>
      <w:r w:rsidRPr="002033A5">
        <w:rPr>
          <w:sz w:val="24"/>
          <w:szCs w:val="24"/>
        </w:rPr>
        <w:t>, sans aucune modification du prix à l’unité ou des conditions générales.</w:t>
      </w:r>
    </w:p>
    <w:p w14:paraId="5B06524A" w14:textId="77777777" w:rsidR="00245983" w:rsidRPr="002033A5" w:rsidRDefault="00245983">
      <w:pPr>
        <w:pStyle w:val="letter"/>
        <w:jc w:val="both"/>
        <w:rPr>
          <w:b/>
          <w:szCs w:val="24"/>
          <w:u w:val="single"/>
        </w:rPr>
      </w:pPr>
    </w:p>
    <w:p w14:paraId="1C8FC18B" w14:textId="77777777" w:rsidR="00245983" w:rsidRPr="002033A5" w:rsidRDefault="00872FCA">
      <w:pPr>
        <w:pStyle w:val="ListParagraph"/>
        <w:numPr>
          <w:ilvl w:val="0"/>
          <w:numId w:val="3"/>
        </w:numPr>
        <w:jc w:val="both"/>
        <w:rPr>
          <w:sz w:val="24"/>
          <w:szCs w:val="24"/>
        </w:rPr>
      </w:pPr>
      <w:r w:rsidRPr="002033A5">
        <w:rPr>
          <w:b/>
          <w:sz w:val="24"/>
          <w:szCs w:val="24"/>
        </w:rPr>
        <w:t>Conditions de paiement</w:t>
      </w:r>
    </w:p>
    <w:p w14:paraId="5200B11C" w14:textId="77777777" w:rsidR="00245983" w:rsidRPr="002033A5" w:rsidRDefault="00872FCA">
      <w:pPr>
        <w:pStyle w:val="ListParagraph"/>
        <w:tabs>
          <w:tab w:val="left" w:pos="851"/>
        </w:tabs>
        <w:overflowPunct w:val="0"/>
        <w:spacing w:line="276" w:lineRule="auto"/>
        <w:ind w:left="0"/>
        <w:contextualSpacing/>
        <w:jc w:val="both"/>
        <w:textAlignment w:val="auto"/>
        <w:rPr>
          <w:sz w:val="24"/>
          <w:szCs w:val="24"/>
        </w:rPr>
      </w:pPr>
      <w:r w:rsidRPr="002033A5">
        <w:rPr>
          <w:sz w:val="24"/>
          <w:szCs w:val="24"/>
        </w:rPr>
        <w:t xml:space="preserve">Les conditions de paiement de l’UNFPA sont fixées à 30 jours nets à </w:t>
      </w:r>
      <w:r w:rsidR="00656813" w:rsidRPr="002033A5">
        <w:rPr>
          <w:sz w:val="24"/>
          <w:szCs w:val="24"/>
        </w:rPr>
        <w:t xml:space="preserve">la </w:t>
      </w:r>
      <w:r w:rsidRPr="002033A5">
        <w:rPr>
          <w:sz w:val="24"/>
          <w:szCs w:val="24"/>
        </w:rPr>
        <w:t>réception des documents d’expédition, de la facture et de toute autre documentation requise par le contrat.</w:t>
      </w:r>
    </w:p>
    <w:p w14:paraId="7F97612D" w14:textId="77777777" w:rsidR="00245983" w:rsidRPr="002033A5" w:rsidRDefault="00245983">
      <w:pPr>
        <w:pStyle w:val="ListParagraph"/>
        <w:tabs>
          <w:tab w:val="left" w:pos="851"/>
        </w:tabs>
        <w:overflowPunct w:val="0"/>
        <w:spacing w:line="276" w:lineRule="auto"/>
        <w:ind w:left="0"/>
        <w:contextualSpacing/>
        <w:jc w:val="both"/>
        <w:textAlignment w:val="auto"/>
        <w:rPr>
          <w:sz w:val="24"/>
          <w:szCs w:val="24"/>
        </w:rPr>
      </w:pPr>
    </w:p>
    <w:p w14:paraId="6D77EBAA" w14:textId="77777777" w:rsidR="00245983" w:rsidRPr="002033A5" w:rsidRDefault="00000000">
      <w:pPr>
        <w:pStyle w:val="ListParagraph"/>
        <w:numPr>
          <w:ilvl w:val="0"/>
          <w:numId w:val="3"/>
        </w:numPr>
        <w:jc w:val="both"/>
        <w:rPr>
          <w:sz w:val="24"/>
          <w:szCs w:val="24"/>
        </w:rPr>
      </w:pPr>
      <w:hyperlink r:id="rId12" w:anchor="FraudCorruption" w:history="1">
        <w:r w:rsidR="00872FCA" w:rsidRPr="002033A5">
          <w:rPr>
            <w:rStyle w:val="InternetLink"/>
            <w:b/>
            <w:color w:val="auto"/>
            <w:sz w:val="24"/>
            <w:szCs w:val="24"/>
          </w:rPr>
          <w:t>Fraude et corruption</w:t>
        </w:r>
      </w:hyperlink>
    </w:p>
    <w:p w14:paraId="2C98BD63" w14:textId="77777777" w:rsidR="00245983" w:rsidRPr="002033A5" w:rsidRDefault="00872FCA">
      <w:pPr>
        <w:pStyle w:val="ListParagraph"/>
        <w:overflowPunct w:val="0"/>
        <w:spacing w:line="276" w:lineRule="auto"/>
        <w:ind w:left="0"/>
        <w:contextualSpacing/>
        <w:jc w:val="both"/>
        <w:textAlignment w:val="auto"/>
        <w:rPr>
          <w:sz w:val="24"/>
          <w:szCs w:val="24"/>
        </w:rPr>
      </w:pPr>
      <w:r w:rsidRPr="002033A5">
        <w:rPr>
          <w:sz w:val="24"/>
          <w:szCs w:val="24"/>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3" w:anchor="overlay-context=node/10356/draft" w:history="1">
        <w:r w:rsidRPr="002033A5">
          <w:rPr>
            <w:rStyle w:val="InternetLink"/>
            <w:sz w:val="24"/>
            <w:szCs w:val="24"/>
          </w:rPr>
          <w:t>Politique contre la fraude</w:t>
        </w:r>
      </w:hyperlink>
      <w:r w:rsidRPr="002033A5">
        <w:rPr>
          <w:sz w:val="24"/>
          <w:szCs w:val="24"/>
        </w:rPr>
        <w:t xml:space="preserve">. La soumission de toute offre implique que le soumissionnaire a pris connaissance de ladite politique. </w:t>
      </w:r>
    </w:p>
    <w:p w14:paraId="7AA656B4" w14:textId="77777777" w:rsidR="00245983" w:rsidRPr="002033A5" w:rsidRDefault="00245983">
      <w:pPr>
        <w:pStyle w:val="ListParagraph"/>
        <w:overflowPunct w:val="0"/>
        <w:spacing w:line="276" w:lineRule="auto"/>
        <w:ind w:left="0"/>
        <w:contextualSpacing/>
        <w:jc w:val="both"/>
        <w:textAlignment w:val="auto"/>
        <w:rPr>
          <w:b/>
          <w:sz w:val="24"/>
          <w:szCs w:val="24"/>
        </w:rPr>
      </w:pPr>
    </w:p>
    <w:p w14:paraId="5A592C21" w14:textId="77777777" w:rsidR="00245983" w:rsidRPr="002033A5" w:rsidRDefault="00872FCA">
      <w:pPr>
        <w:jc w:val="both"/>
        <w:rPr>
          <w:sz w:val="24"/>
          <w:szCs w:val="24"/>
        </w:rPr>
      </w:pPr>
      <w:r w:rsidRPr="002033A5">
        <w:rPr>
          <w:sz w:val="24"/>
          <w:szCs w:val="24"/>
        </w:rPr>
        <w:t xml:space="preserve">Les fournisseurs, ainsi que leurs </w:t>
      </w:r>
      <w:r w:rsidR="00656813" w:rsidRPr="002033A5">
        <w:rPr>
          <w:sz w:val="24"/>
          <w:szCs w:val="24"/>
        </w:rPr>
        <w:t>filiales</w:t>
      </w:r>
      <w:r w:rsidRPr="002033A5">
        <w:rPr>
          <w:sz w:val="24"/>
          <w:szCs w:val="24"/>
        </w:rPr>
        <w:t xml:space="preserve">,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w:t>
      </w:r>
      <w:r w:rsidR="00656813" w:rsidRPr="002033A5">
        <w:rPr>
          <w:sz w:val="24"/>
          <w:szCs w:val="24"/>
        </w:rPr>
        <w:t xml:space="preserve">Toute </w:t>
      </w:r>
      <w:r w:rsidRPr="002033A5">
        <w:rPr>
          <w:sz w:val="24"/>
          <w:szCs w:val="24"/>
        </w:rPr>
        <w:t xml:space="preserve">non-coopération </w:t>
      </w:r>
      <w:r w:rsidR="00656813" w:rsidRPr="002033A5">
        <w:rPr>
          <w:sz w:val="24"/>
          <w:szCs w:val="24"/>
        </w:rPr>
        <w:t xml:space="preserve">dans les investigations menées, constitue </w:t>
      </w:r>
      <w:r w:rsidRPr="002033A5">
        <w:rPr>
          <w:sz w:val="24"/>
          <w:szCs w:val="24"/>
        </w:rPr>
        <w:t>une raison suffisante pour que l’UNFPA résilie</w:t>
      </w:r>
      <w:r w:rsidR="00BE0075" w:rsidRPr="002033A5">
        <w:rPr>
          <w:sz w:val="24"/>
          <w:szCs w:val="24"/>
        </w:rPr>
        <w:t xml:space="preserve"> l`accord</w:t>
      </w:r>
      <w:r w:rsidRPr="002033A5">
        <w:rPr>
          <w:sz w:val="24"/>
          <w:szCs w:val="24"/>
        </w:rPr>
        <w:t xml:space="preserve"> et pour retirer le fournisseur de la liste des fournisseurs </w:t>
      </w:r>
      <w:r w:rsidR="00656813" w:rsidRPr="002033A5">
        <w:rPr>
          <w:sz w:val="24"/>
          <w:szCs w:val="24"/>
        </w:rPr>
        <w:t xml:space="preserve">agréés  </w:t>
      </w:r>
      <w:r w:rsidRPr="002033A5">
        <w:rPr>
          <w:sz w:val="24"/>
          <w:szCs w:val="24"/>
        </w:rPr>
        <w:t>auprès de l’UNFPA.</w:t>
      </w:r>
    </w:p>
    <w:p w14:paraId="29FEC7D4" w14:textId="77777777" w:rsidR="00245983" w:rsidRPr="002033A5" w:rsidRDefault="00245983">
      <w:pPr>
        <w:pStyle w:val="letter"/>
        <w:jc w:val="both"/>
        <w:rPr>
          <w:szCs w:val="24"/>
        </w:rPr>
      </w:pPr>
    </w:p>
    <w:p w14:paraId="2E44E1B0" w14:textId="77777777" w:rsidR="00245983" w:rsidRPr="002033A5" w:rsidRDefault="00872FCA">
      <w:pPr>
        <w:spacing w:line="276" w:lineRule="auto"/>
        <w:contextualSpacing/>
        <w:jc w:val="both"/>
        <w:rPr>
          <w:sz w:val="24"/>
          <w:szCs w:val="24"/>
        </w:rPr>
      </w:pPr>
      <w:r w:rsidRPr="002033A5">
        <w:rPr>
          <w:sz w:val="24"/>
          <w:szCs w:val="24"/>
        </w:rPr>
        <w:t xml:space="preserve">Les soumissionnaires peuvent accéder à une ligne anti-fraude confidentielle pour dénoncer les activités frauduleuses à l’adresse suivante : </w:t>
      </w:r>
      <w:hyperlink r:id="rId14">
        <w:r w:rsidRPr="002033A5">
          <w:rPr>
            <w:rStyle w:val="InternetLink"/>
            <w:sz w:val="24"/>
            <w:szCs w:val="24"/>
          </w:rPr>
          <w:t>Ligne anti-fraude de l’UNFPA</w:t>
        </w:r>
      </w:hyperlink>
      <w:r w:rsidRPr="002033A5">
        <w:rPr>
          <w:sz w:val="24"/>
          <w:szCs w:val="24"/>
        </w:rPr>
        <w:t>.</w:t>
      </w:r>
    </w:p>
    <w:p w14:paraId="2392F654" w14:textId="77777777" w:rsidR="00245983" w:rsidRPr="002033A5" w:rsidRDefault="00245983">
      <w:pPr>
        <w:pStyle w:val="letter"/>
        <w:jc w:val="both"/>
        <w:rPr>
          <w:szCs w:val="24"/>
        </w:rPr>
      </w:pPr>
    </w:p>
    <w:p w14:paraId="5800C2BD" w14:textId="77777777" w:rsidR="00245983" w:rsidRPr="002033A5" w:rsidRDefault="00872FCA">
      <w:pPr>
        <w:pStyle w:val="ListParagraph"/>
        <w:numPr>
          <w:ilvl w:val="0"/>
          <w:numId w:val="3"/>
        </w:numPr>
        <w:jc w:val="both"/>
        <w:rPr>
          <w:sz w:val="24"/>
          <w:szCs w:val="24"/>
        </w:rPr>
      </w:pPr>
      <w:r w:rsidRPr="002033A5">
        <w:rPr>
          <w:b/>
          <w:sz w:val="24"/>
          <w:szCs w:val="24"/>
        </w:rPr>
        <w:t>Politique de tolérance zéro</w:t>
      </w:r>
    </w:p>
    <w:p w14:paraId="303BBEC7" w14:textId="77777777" w:rsidR="00245983" w:rsidRPr="002033A5" w:rsidRDefault="00872FCA">
      <w:pPr>
        <w:jc w:val="both"/>
        <w:rPr>
          <w:sz w:val="24"/>
          <w:szCs w:val="24"/>
        </w:rPr>
      </w:pPr>
      <w:r w:rsidRPr="002033A5">
        <w:rPr>
          <w:sz w:val="24"/>
          <w:szCs w:val="24"/>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5" w:anchor="ZeroTolerance" w:history="1">
        <w:r w:rsidRPr="002033A5">
          <w:rPr>
            <w:rStyle w:val="InternetLink"/>
            <w:sz w:val="24"/>
            <w:szCs w:val="24"/>
            <w:lang w:eastAsia="en-GB"/>
          </w:rPr>
          <w:t>Politique de tolérance zéro</w:t>
        </w:r>
      </w:hyperlink>
      <w:r w:rsidRPr="002033A5">
        <w:rPr>
          <w:sz w:val="24"/>
          <w:szCs w:val="24"/>
        </w:rPr>
        <w:t>.</w:t>
      </w:r>
    </w:p>
    <w:p w14:paraId="7F12A444" w14:textId="77777777" w:rsidR="00245983" w:rsidRPr="002033A5" w:rsidRDefault="00245983">
      <w:pPr>
        <w:jc w:val="both"/>
        <w:rPr>
          <w:sz w:val="24"/>
          <w:szCs w:val="24"/>
          <w:lang w:eastAsia="en-GB"/>
        </w:rPr>
      </w:pPr>
    </w:p>
    <w:p w14:paraId="0934CBF4" w14:textId="77777777" w:rsidR="00245983" w:rsidRPr="002033A5" w:rsidRDefault="00872FCA">
      <w:pPr>
        <w:pStyle w:val="ListParagraph"/>
        <w:numPr>
          <w:ilvl w:val="0"/>
          <w:numId w:val="3"/>
        </w:numPr>
        <w:jc w:val="both"/>
        <w:rPr>
          <w:b/>
          <w:sz w:val="24"/>
          <w:szCs w:val="24"/>
        </w:rPr>
      </w:pPr>
      <w:r w:rsidRPr="002033A5">
        <w:rPr>
          <w:b/>
          <w:sz w:val="24"/>
          <w:szCs w:val="24"/>
        </w:rPr>
        <w:t>Contestation de la RFQ</w:t>
      </w:r>
    </w:p>
    <w:p w14:paraId="4980FDDF" w14:textId="486160AC" w:rsidR="00245983" w:rsidRPr="002033A5" w:rsidRDefault="00872FCA">
      <w:pPr>
        <w:tabs>
          <w:tab w:val="left" w:pos="851"/>
        </w:tabs>
        <w:spacing w:line="276" w:lineRule="auto"/>
        <w:contextualSpacing/>
        <w:jc w:val="both"/>
        <w:rPr>
          <w:sz w:val="24"/>
          <w:szCs w:val="24"/>
        </w:rPr>
      </w:pPr>
      <w:r w:rsidRPr="002033A5">
        <w:rPr>
          <w:sz w:val="24"/>
          <w:szCs w:val="24"/>
        </w:rPr>
        <w:t xml:space="preserve">Les soumissionnaires qui estiment avoir été traités injustement ou </w:t>
      </w:r>
      <w:r w:rsidR="00D84F0F" w:rsidRPr="002033A5">
        <w:rPr>
          <w:sz w:val="24"/>
          <w:szCs w:val="24"/>
        </w:rPr>
        <w:t>équitablement</w:t>
      </w:r>
      <w:r w:rsidRPr="002033A5">
        <w:rPr>
          <w:sz w:val="24"/>
          <w:szCs w:val="24"/>
        </w:rPr>
        <w:t xml:space="preserve"> dans le cadre de l’appel d’offres, de l’évaluation ou de l’adjudication d’un contrat pourront envoyer une réclamation au chef de l’unité concernée de l’UNFPA </w:t>
      </w:r>
      <w:r w:rsidR="00FF23CE">
        <w:rPr>
          <w:sz w:val="24"/>
          <w:szCs w:val="24"/>
        </w:rPr>
        <w:t>M. Philippe Serge Degernier</w:t>
      </w:r>
      <w:r w:rsidR="004D3AD4" w:rsidRPr="002033A5">
        <w:rPr>
          <w:sz w:val="24"/>
          <w:szCs w:val="24"/>
        </w:rPr>
        <w:t>,</w:t>
      </w:r>
      <w:r w:rsidRPr="002033A5">
        <w:rPr>
          <w:sz w:val="24"/>
          <w:szCs w:val="24"/>
        </w:rPr>
        <w:t xml:space="preserve"> représentant</w:t>
      </w:r>
      <w:r w:rsidR="00FF23CE">
        <w:rPr>
          <w:sz w:val="24"/>
          <w:szCs w:val="24"/>
        </w:rPr>
        <w:t xml:space="preserve"> résident</w:t>
      </w:r>
      <w:r w:rsidRPr="002033A5">
        <w:rPr>
          <w:sz w:val="24"/>
          <w:szCs w:val="24"/>
        </w:rPr>
        <w:t xml:space="preserve"> à l’adresse suivante : </w:t>
      </w:r>
      <w:r w:rsidR="00FF23CE">
        <w:rPr>
          <w:sz w:val="24"/>
          <w:szCs w:val="24"/>
        </w:rPr>
        <w:t>degernier</w:t>
      </w:r>
      <w:r w:rsidR="004D3AD4" w:rsidRPr="002033A5">
        <w:rPr>
          <w:sz w:val="24"/>
          <w:szCs w:val="24"/>
        </w:rPr>
        <w:t>@unfpa.org</w:t>
      </w:r>
      <w:r w:rsidRPr="002033A5">
        <w:rPr>
          <w:sz w:val="24"/>
          <w:szCs w:val="24"/>
        </w:rPr>
        <w:t xml:space="preserve">. Si le fournisseur n’est pas satisfait de la réponse fournie par le chef de l’unité concernée, il peut contacter le Chef de la Division des services d’approvisionnement à l’adresse </w:t>
      </w:r>
      <w:hyperlink r:id="rId16">
        <w:r w:rsidRPr="002033A5">
          <w:rPr>
            <w:rStyle w:val="InternetLink"/>
            <w:sz w:val="24"/>
            <w:szCs w:val="24"/>
          </w:rPr>
          <w:t>procurement@unfpa.org</w:t>
        </w:r>
      </w:hyperlink>
      <w:bookmarkStart w:id="8" w:name="_Toc368998656"/>
      <w:bookmarkEnd w:id="8"/>
      <w:r w:rsidRPr="002033A5">
        <w:rPr>
          <w:sz w:val="24"/>
          <w:szCs w:val="24"/>
        </w:rPr>
        <w:t>.</w:t>
      </w:r>
    </w:p>
    <w:p w14:paraId="7498309F" w14:textId="77777777" w:rsidR="00245983" w:rsidRPr="002033A5" w:rsidRDefault="00245983">
      <w:pPr>
        <w:pStyle w:val="letter"/>
        <w:jc w:val="both"/>
        <w:rPr>
          <w:szCs w:val="24"/>
        </w:rPr>
      </w:pPr>
    </w:p>
    <w:p w14:paraId="0D8E3116" w14:textId="77777777" w:rsidR="00245983" w:rsidRPr="002033A5" w:rsidRDefault="00872FCA">
      <w:pPr>
        <w:pStyle w:val="ListParagraph"/>
        <w:numPr>
          <w:ilvl w:val="0"/>
          <w:numId w:val="3"/>
        </w:numPr>
        <w:jc w:val="both"/>
        <w:rPr>
          <w:b/>
          <w:sz w:val="24"/>
          <w:szCs w:val="24"/>
        </w:rPr>
      </w:pPr>
      <w:r w:rsidRPr="002033A5">
        <w:rPr>
          <w:b/>
          <w:sz w:val="24"/>
          <w:szCs w:val="24"/>
        </w:rPr>
        <w:t>Avertissement</w:t>
      </w:r>
    </w:p>
    <w:p w14:paraId="22FDCD12" w14:textId="6665C175" w:rsidR="00245983" w:rsidRPr="002033A5" w:rsidRDefault="00872FCA">
      <w:pPr>
        <w:pStyle w:val="ListParagraph"/>
        <w:tabs>
          <w:tab w:val="left" w:pos="851"/>
        </w:tabs>
        <w:overflowPunct w:val="0"/>
        <w:spacing w:line="276" w:lineRule="auto"/>
        <w:ind w:left="0"/>
        <w:contextualSpacing/>
        <w:jc w:val="both"/>
        <w:textAlignment w:val="auto"/>
        <w:rPr>
          <w:sz w:val="24"/>
          <w:szCs w:val="24"/>
        </w:rPr>
      </w:pPr>
      <w:r w:rsidRPr="002033A5">
        <w:rPr>
          <w:sz w:val="24"/>
          <w:szCs w:val="24"/>
        </w:rPr>
        <w:t xml:space="preserve">Si un des liens contenus dans ce document est indisponible ou inaccessible pour quelque raison que ce soit, les soumissionnaires peuvent contacter le fonctionnaire en charge de l’approvisionnement pour demander ces documents </w:t>
      </w:r>
      <w:r w:rsidR="00FF23CE" w:rsidRPr="002033A5">
        <w:rPr>
          <w:sz w:val="24"/>
          <w:szCs w:val="24"/>
        </w:rPr>
        <w:t>en format</w:t>
      </w:r>
      <w:r w:rsidRPr="002033A5">
        <w:rPr>
          <w:sz w:val="24"/>
          <w:szCs w:val="24"/>
        </w:rPr>
        <w:t xml:space="preserve"> PDF.</w:t>
      </w:r>
    </w:p>
    <w:p w14:paraId="7DB0E83A" w14:textId="77777777" w:rsidR="00245983" w:rsidRPr="002033A5" w:rsidRDefault="00872FCA">
      <w:pPr>
        <w:pStyle w:val="ListParagraph"/>
        <w:tabs>
          <w:tab w:val="left" w:pos="851"/>
        </w:tabs>
        <w:overflowPunct w:val="0"/>
        <w:spacing w:line="276" w:lineRule="auto"/>
        <w:ind w:left="0"/>
        <w:contextualSpacing/>
        <w:jc w:val="both"/>
        <w:textAlignment w:val="auto"/>
        <w:rPr>
          <w:sz w:val="24"/>
          <w:szCs w:val="24"/>
        </w:rPr>
      </w:pPr>
      <w:r w:rsidRPr="002033A5">
        <w:rPr>
          <w:sz w:val="24"/>
          <w:szCs w:val="24"/>
        </w:rPr>
        <w:br w:type="page"/>
      </w:r>
    </w:p>
    <w:p w14:paraId="06C9FE39" w14:textId="77777777" w:rsidR="00245983" w:rsidRPr="002033A5" w:rsidRDefault="00656813">
      <w:pPr>
        <w:pStyle w:val="Caption"/>
        <w:rPr>
          <w:caps/>
          <w:sz w:val="24"/>
          <w:szCs w:val="24"/>
        </w:rPr>
      </w:pPr>
      <w:r w:rsidRPr="002033A5">
        <w:rPr>
          <w:caps/>
          <w:sz w:val="24"/>
          <w:szCs w:val="24"/>
        </w:rPr>
        <w:lastRenderedPageBreak/>
        <w:t>BORDEREAU DE PRIX</w:t>
      </w:r>
    </w:p>
    <w:p w14:paraId="0E2A7BA5" w14:textId="77777777" w:rsidR="00245983" w:rsidRPr="002033A5" w:rsidRDefault="00245983">
      <w:pPr>
        <w:rPr>
          <w:sz w:val="24"/>
          <w:szCs w:val="24"/>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245983" w:rsidRPr="002033A5" w14:paraId="0307D168"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0ED61F7E" w14:textId="77777777" w:rsidR="00245983" w:rsidRPr="002033A5" w:rsidRDefault="00872FCA">
            <w:pPr>
              <w:rPr>
                <w:b/>
                <w:bCs/>
                <w:sz w:val="24"/>
                <w:szCs w:val="24"/>
              </w:rPr>
            </w:pPr>
            <w:r w:rsidRPr="002033A5">
              <w:rPr>
                <w:b/>
                <w:bCs/>
                <w:sz w:val="24"/>
                <w:szCs w:val="24"/>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4782E13E" w14:textId="77777777" w:rsidR="00245983" w:rsidRPr="002033A5" w:rsidRDefault="00245983">
            <w:pPr>
              <w:jc w:val="center"/>
              <w:rPr>
                <w:bCs/>
                <w:sz w:val="24"/>
                <w:szCs w:val="24"/>
              </w:rPr>
            </w:pPr>
          </w:p>
        </w:tc>
      </w:tr>
      <w:tr w:rsidR="00245983" w:rsidRPr="002033A5" w14:paraId="6A8DA63A"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5DF93A00" w14:textId="77777777" w:rsidR="00245983" w:rsidRPr="002033A5" w:rsidRDefault="00872FCA" w:rsidP="00656813">
            <w:pPr>
              <w:rPr>
                <w:sz w:val="24"/>
                <w:szCs w:val="24"/>
              </w:rPr>
            </w:pPr>
            <w:r w:rsidRPr="002033A5">
              <w:rPr>
                <w:b/>
                <w:bCs/>
                <w:sz w:val="24"/>
                <w:szCs w:val="24"/>
              </w:rPr>
              <w:t xml:space="preserve">Date </w:t>
            </w:r>
            <w:r w:rsidR="00656813" w:rsidRPr="002033A5">
              <w:rPr>
                <w:b/>
                <w:bCs/>
                <w:sz w:val="24"/>
                <w:szCs w:val="24"/>
              </w:rPr>
              <w:t>de la cotation</w:t>
            </w:r>
            <w:r w:rsidRPr="002033A5">
              <w:rPr>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3D330D2F" w14:textId="77777777" w:rsidR="00245983" w:rsidRPr="002033A5" w:rsidRDefault="00000000">
            <w:pPr>
              <w:jc w:val="center"/>
              <w:rPr>
                <w:bCs/>
                <w:sz w:val="24"/>
                <w:szCs w:val="24"/>
              </w:rPr>
            </w:pPr>
            <w:sdt>
              <w:sdtPr>
                <w:rPr>
                  <w:sz w:val="24"/>
                  <w:szCs w:val="24"/>
                </w:rPr>
                <w:id w:val="2087338521"/>
                <w:date>
                  <w:dateFormat w:val="dd/MM/yyyy"/>
                  <w:lid w:val="en-GB"/>
                  <w:storeMappedDataAs w:val="dateTime"/>
                  <w:calendar w:val="gregorian"/>
                </w:date>
              </w:sdtPr>
              <w:sdtContent>
                <w:r w:rsidR="00872FCA" w:rsidRPr="002033A5">
                  <w:rPr>
                    <w:sz w:val="24"/>
                    <w:szCs w:val="24"/>
                  </w:rPr>
                  <w:t>Cliquez ici pour indiquer une date.</w:t>
                </w:r>
              </w:sdtContent>
            </w:sdt>
          </w:p>
        </w:tc>
      </w:tr>
      <w:tr w:rsidR="00245983" w:rsidRPr="002033A5" w14:paraId="1C44E7AE"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572EFD53" w14:textId="77777777" w:rsidR="00245983" w:rsidRPr="002033A5" w:rsidRDefault="00872FCA" w:rsidP="005B5582">
            <w:pPr>
              <w:rPr>
                <w:sz w:val="24"/>
                <w:szCs w:val="24"/>
              </w:rPr>
            </w:pPr>
            <w:r w:rsidRPr="002033A5">
              <w:rPr>
                <w:b/>
                <w:bCs/>
                <w:sz w:val="24"/>
                <w:szCs w:val="24"/>
              </w:rPr>
              <w:t xml:space="preserve">Numéro de la demande de </w:t>
            </w:r>
            <w:r w:rsidR="005B5582" w:rsidRPr="002033A5">
              <w:rPr>
                <w:b/>
                <w:bCs/>
                <w:sz w:val="24"/>
                <w:szCs w:val="24"/>
              </w:rPr>
              <w:t>cotation </w:t>
            </w:r>
            <w:r w:rsidRPr="002033A5">
              <w:rPr>
                <w:b/>
                <w:bCs/>
                <w:sz w:val="24"/>
                <w:szCs w:val="24"/>
              </w:rPr>
              <w:t>:</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40B93577" w14:textId="4A90D664" w:rsidR="00245983" w:rsidRPr="002033A5" w:rsidRDefault="00872FCA" w:rsidP="001B0C5B">
            <w:pPr>
              <w:jc w:val="center"/>
              <w:rPr>
                <w:bCs/>
                <w:sz w:val="24"/>
                <w:szCs w:val="24"/>
                <w:lang w:val="es-ES"/>
              </w:rPr>
            </w:pPr>
            <w:r w:rsidRPr="002033A5">
              <w:rPr>
                <w:sz w:val="24"/>
                <w:szCs w:val="24"/>
              </w:rPr>
              <w:t>UNFPA/</w:t>
            </w:r>
            <w:r w:rsidR="004D3AD4" w:rsidRPr="002033A5">
              <w:rPr>
                <w:sz w:val="24"/>
                <w:szCs w:val="24"/>
              </w:rPr>
              <w:t>HTI</w:t>
            </w:r>
            <w:r w:rsidRPr="002033A5">
              <w:rPr>
                <w:sz w:val="24"/>
                <w:szCs w:val="24"/>
              </w:rPr>
              <w:t>/RFQ/</w:t>
            </w:r>
            <w:r w:rsidR="001B0C5B" w:rsidRPr="002033A5">
              <w:rPr>
                <w:sz w:val="24"/>
                <w:szCs w:val="24"/>
              </w:rPr>
              <w:t>23</w:t>
            </w:r>
            <w:r w:rsidR="00FF23CE">
              <w:rPr>
                <w:sz w:val="24"/>
                <w:szCs w:val="24"/>
              </w:rPr>
              <w:t>/03</w:t>
            </w:r>
            <w:r w:rsidR="00BD02FC">
              <w:rPr>
                <w:sz w:val="24"/>
                <w:szCs w:val="24"/>
              </w:rPr>
              <w:t>2</w:t>
            </w:r>
          </w:p>
        </w:tc>
      </w:tr>
      <w:tr w:rsidR="00245983" w:rsidRPr="002033A5" w14:paraId="0486E53F"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1A78C2B3" w14:textId="77777777" w:rsidR="00245983" w:rsidRPr="002033A5" w:rsidRDefault="00872FCA" w:rsidP="005B5582">
            <w:pPr>
              <w:rPr>
                <w:sz w:val="24"/>
                <w:szCs w:val="24"/>
              </w:rPr>
            </w:pPr>
            <w:r w:rsidRPr="002033A5">
              <w:rPr>
                <w:b/>
                <w:bCs/>
                <w:sz w:val="24"/>
                <w:szCs w:val="24"/>
              </w:rPr>
              <w:t xml:space="preserve">Devise </w:t>
            </w:r>
            <w:r w:rsidR="005B5582" w:rsidRPr="002033A5">
              <w:rPr>
                <w:b/>
                <w:bCs/>
                <w:sz w:val="24"/>
                <w:szCs w:val="24"/>
              </w:rPr>
              <w:t>de la cotation</w:t>
            </w:r>
            <w:r w:rsidRPr="002033A5">
              <w:rPr>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25D20141" w14:textId="77777777" w:rsidR="00245983" w:rsidRPr="002033A5" w:rsidRDefault="00561AC9">
            <w:pPr>
              <w:jc w:val="center"/>
              <w:rPr>
                <w:bCs/>
                <w:sz w:val="24"/>
                <w:szCs w:val="24"/>
              </w:rPr>
            </w:pPr>
            <w:r w:rsidRPr="002033A5">
              <w:rPr>
                <w:bCs/>
                <w:sz w:val="24"/>
                <w:szCs w:val="24"/>
              </w:rPr>
              <w:t>GDES</w:t>
            </w:r>
          </w:p>
        </w:tc>
      </w:tr>
      <w:tr w:rsidR="00245983" w:rsidRPr="002033A5" w14:paraId="05D1C580"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46155211" w14:textId="77777777" w:rsidR="00245983" w:rsidRPr="002033A5" w:rsidRDefault="00872FCA">
            <w:pPr>
              <w:rPr>
                <w:sz w:val="24"/>
                <w:szCs w:val="24"/>
              </w:rPr>
            </w:pPr>
            <w:r w:rsidRPr="002033A5">
              <w:rPr>
                <w:b/>
                <w:bCs/>
                <w:sz w:val="24"/>
                <w:szCs w:val="24"/>
              </w:rPr>
              <w:t xml:space="preserve">Durée de validité </w:t>
            </w:r>
            <w:r w:rsidR="005B5582" w:rsidRPr="002033A5">
              <w:rPr>
                <w:b/>
                <w:bCs/>
                <w:sz w:val="24"/>
                <w:szCs w:val="24"/>
              </w:rPr>
              <w:t>de la cotation</w:t>
            </w:r>
            <w:r w:rsidRPr="002033A5">
              <w:rPr>
                <w:b/>
                <w:bCs/>
                <w:sz w:val="24"/>
                <w:szCs w:val="24"/>
              </w:rPr>
              <w:t> :</w:t>
            </w:r>
          </w:p>
          <w:p w14:paraId="3AFA2826" w14:textId="77777777" w:rsidR="00245983" w:rsidRPr="002033A5" w:rsidRDefault="00872FCA" w:rsidP="005B5582">
            <w:pPr>
              <w:jc w:val="both"/>
              <w:rPr>
                <w:b/>
                <w:bCs/>
                <w:i/>
                <w:sz w:val="24"/>
                <w:szCs w:val="24"/>
              </w:rPr>
            </w:pPr>
            <w:r w:rsidRPr="002033A5">
              <w:rPr>
                <w:i/>
                <w:iCs/>
                <w:sz w:val="24"/>
                <w:szCs w:val="24"/>
              </w:rPr>
              <w:t>(</w:t>
            </w:r>
            <w:r w:rsidR="005B5582" w:rsidRPr="002033A5">
              <w:rPr>
                <w:i/>
                <w:iCs/>
                <w:sz w:val="24"/>
                <w:szCs w:val="24"/>
              </w:rPr>
              <w:t>la cotation</w:t>
            </w:r>
            <w:r w:rsidRPr="002033A5">
              <w:rPr>
                <w:i/>
                <w:iCs/>
                <w:sz w:val="24"/>
                <w:szCs w:val="24"/>
              </w:rPr>
              <w:t xml:space="preserve"> doit être valide pour une période d’au moins trois mois</w:t>
            </w:r>
            <w:r w:rsidRPr="002033A5">
              <w:rPr>
                <w:i/>
                <w:sz w:val="24"/>
                <w:szCs w:val="24"/>
              </w:rPr>
              <w:t xml:space="preserve"> </w:t>
            </w:r>
            <w:r w:rsidRPr="002033A5">
              <w:rPr>
                <w:i/>
                <w:iCs/>
                <w:sz w:val="24"/>
                <w:szCs w:val="24"/>
              </w:rPr>
              <w:t>après la date de clôture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29E308B5" w14:textId="77777777" w:rsidR="00245983" w:rsidRPr="002033A5" w:rsidRDefault="00245983">
            <w:pPr>
              <w:jc w:val="center"/>
              <w:rPr>
                <w:bCs/>
                <w:sz w:val="24"/>
                <w:szCs w:val="24"/>
              </w:rPr>
            </w:pPr>
          </w:p>
        </w:tc>
      </w:tr>
    </w:tbl>
    <w:p w14:paraId="5B926663" w14:textId="77777777" w:rsidR="00245983" w:rsidRPr="002033A5" w:rsidRDefault="00245983">
      <w:pPr>
        <w:pStyle w:val="Title"/>
        <w:jc w:val="left"/>
        <w:rPr>
          <w:b w:val="0"/>
          <w:szCs w:val="24"/>
          <w:u w:val="none"/>
        </w:rPr>
      </w:pPr>
    </w:p>
    <w:p w14:paraId="1A6EC839" w14:textId="77777777" w:rsidR="00245983" w:rsidRPr="002033A5" w:rsidRDefault="00245983">
      <w:pPr>
        <w:pStyle w:val="Title"/>
        <w:jc w:val="left"/>
        <w:rPr>
          <w:b w:val="0"/>
          <w:szCs w:val="24"/>
          <w:u w:val="none"/>
        </w:rPr>
      </w:pPr>
    </w:p>
    <w:tbl>
      <w:tblPr>
        <w:tblW w:w="10139" w:type="dxa"/>
        <w:jc w:val="center"/>
        <w:tblBorders>
          <w:top w:val="single" w:sz="4" w:space="0" w:color="D9D9D9"/>
          <w:left w:val="single" w:sz="4" w:space="0" w:color="D9D9D9"/>
          <w:bottom w:val="single" w:sz="4" w:space="0" w:color="00000A"/>
          <w:right w:val="single" w:sz="4" w:space="0" w:color="D9D9D9"/>
          <w:insideH w:val="single" w:sz="4" w:space="0" w:color="00000A"/>
          <w:insideV w:val="single" w:sz="4" w:space="0" w:color="D9D9D9"/>
        </w:tblBorders>
        <w:tblLook w:val="0020" w:firstRow="1" w:lastRow="0" w:firstColumn="0" w:lastColumn="0" w:noHBand="0" w:noVBand="0"/>
      </w:tblPr>
      <w:tblGrid>
        <w:gridCol w:w="960"/>
        <w:gridCol w:w="2858"/>
        <w:gridCol w:w="1400"/>
        <w:gridCol w:w="1230"/>
        <w:gridCol w:w="1230"/>
        <w:gridCol w:w="1230"/>
        <w:gridCol w:w="1231"/>
      </w:tblGrid>
      <w:tr w:rsidR="00245983" w:rsidRPr="002033A5" w14:paraId="5BD6286B" w14:textId="77777777">
        <w:trPr>
          <w:trHeight w:val="595"/>
          <w:jc w:val="center"/>
        </w:trPr>
        <w:tc>
          <w:tcPr>
            <w:tcW w:w="10138" w:type="dxa"/>
            <w:gridSpan w:val="7"/>
            <w:tcBorders>
              <w:top w:val="single" w:sz="4" w:space="0" w:color="D9D9D9"/>
              <w:left w:val="single" w:sz="4" w:space="0" w:color="D9D9D9"/>
              <w:bottom w:val="single" w:sz="4" w:space="0" w:color="00000A"/>
              <w:right w:val="single" w:sz="4" w:space="0" w:color="D9D9D9"/>
            </w:tcBorders>
            <w:shd w:val="clear" w:color="auto" w:fill="auto"/>
            <w:tcMar>
              <w:left w:w="108" w:type="dxa"/>
            </w:tcMar>
            <w:vAlign w:val="center"/>
          </w:tcPr>
          <w:p w14:paraId="2703E789" w14:textId="77777777" w:rsidR="00245983" w:rsidRPr="002033A5" w:rsidRDefault="005B5582">
            <w:pPr>
              <w:jc w:val="center"/>
              <w:rPr>
                <w:sz w:val="24"/>
                <w:szCs w:val="24"/>
              </w:rPr>
            </w:pPr>
            <w:r w:rsidRPr="002033A5">
              <w:rPr>
                <w:b/>
                <w:bCs/>
                <w:color w:val="000000"/>
                <w:sz w:val="24"/>
                <w:szCs w:val="24"/>
              </w:rPr>
              <w:t>Bordereau de prix</w:t>
            </w:r>
          </w:p>
        </w:tc>
      </w:tr>
      <w:tr w:rsidR="00245983" w:rsidRPr="002033A5" w14:paraId="0F6B0230" w14:textId="77777777">
        <w:trPr>
          <w:trHeight w:val="595"/>
          <w:jc w:val="center"/>
        </w:trPr>
        <w:tc>
          <w:tcPr>
            <w:tcW w:w="96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41D96CCF" w14:textId="77777777" w:rsidR="00245983" w:rsidRPr="002033A5" w:rsidRDefault="00872FCA">
            <w:pPr>
              <w:jc w:val="center"/>
              <w:rPr>
                <w:sz w:val="24"/>
                <w:szCs w:val="24"/>
              </w:rPr>
            </w:pPr>
            <w:r w:rsidRPr="002033A5">
              <w:rPr>
                <w:sz w:val="24"/>
                <w:szCs w:val="24"/>
              </w:rPr>
              <w:t>Article</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4D30162B" w14:textId="77777777" w:rsidR="00245983" w:rsidRPr="002033A5" w:rsidRDefault="00872FCA">
            <w:pPr>
              <w:jc w:val="center"/>
              <w:rPr>
                <w:sz w:val="24"/>
                <w:szCs w:val="24"/>
              </w:rPr>
            </w:pPr>
            <w:r w:rsidRPr="002033A5">
              <w:rPr>
                <w:sz w:val="24"/>
                <w:szCs w:val="24"/>
              </w:rPr>
              <w:t>Nom et description du produit</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48CF48B6" w14:textId="77777777" w:rsidR="00245983" w:rsidRPr="002033A5" w:rsidRDefault="00872FCA">
            <w:pPr>
              <w:jc w:val="center"/>
              <w:rPr>
                <w:sz w:val="24"/>
                <w:szCs w:val="24"/>
              </w:rPr>
            </w:pPr>
            <w:r w:rsidRPr="002033A5">
              <w:rPr>
                <w:sz w:val="24"/>
                <w:szCs w:val="24"/>
              </w:rPr>
              <w:t>UdM</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532546D5" w14:textId="77777777" w:rsidR="00245983" w:rsidRPr="002033A5" w:rsidRDefault="00872FCA">
            <w:pPr>
              <w:jc w:val="center"/>
              <w:rPr>
                <w:sz w:val="24"/>
                <w:szCs w:val="24"/>
              </w:rPr>
            </w:pPr>
            <w:r w:rsidRPr="002033A5">
              <w:rPr>
                <w:sz w:val="24"/>
                <w:szCs w:val="24"/>
              </w:rPr>
              <w:t>Prix à l’unité</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581B359D" w14:textId="77777777" w:rsidR="00245983" w:rsidRPr="002033A5" w:rsidRDefault="00872FCA">
            <w:pPr>
              <w:jc w:val="center"/>
              <w:rPr>
                <w:sz w:val="24"/>
                <w:szCs w:val="24"/>
              </w:rPr>
            </w:pPr>
            <w:r w:rsidRPr="002033A5">
              <w:rPr>
                <w:sz w:val="24"/>
                <w:szCs w:val="24"/>
              </w:rPr>
              <w:t>Nombre d’unités</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26E4B8E1" w14:textId="77777777" w:rsidR="00245983" w:rsidRPr="002033A5" w:rsidRDefault="00872FCA">
            <w:pPr>
              <w:jc w:val="center"/>
              <w:rPr>
                <w:sz w:val="24"/>
                <w:szCs w:val="24"/>
              </w:rPr>
            </w:pPr>
            <w:r w:rsidRPr="002033A5">
              <w:rPr>
                <w:sz w:val="24"/>
                <w:szCs w:val="24"/>
              </w:rPr>
              <w:t xml:space="preserve">Total </w:t>
            </w:r>
          </w:p>
          <w:p w14:paraId="2F955858" w14:textId="77777777" w:rsidR="00245983" w:rsidRPr="002033A5" w:rsidRDefault="00561AC9">
            <w:pPr>
              <w:jc w:val="center"/>
              <w:rPr>
                <w:sz w:val="24"/>
                <w:szCs w:val="24"/>
              </w:rPr>
            </w:pPr>
            <w:r w:rsidRPr="002033A5">
              <w:rPr>
                <w:sz w:val="24"/>
                <w:szCs w:val="24"/>
              </w:rPr>
              <w:t>(GDES</w:t>
            </w:r>
            <w:r w:rsidR="00872FCA" w:rsidRPr="002033A5">
              <w:rPr>
                <w:sz w:val="24"/>
                <w:szCs w:val="24"/>
              </w:rPr>
              <w:t>)</w:t>
            </w:r>
          </w:p>
        </w:tc>
      </w:tr>
      <w:tr w:rsidR="00245983" w:rsidRPr="002033A5" w14:paraId="1AAA2F0B"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3F933A" w14:textId="77777777" w:rsidR="00245983" w:rsidRPr="002033A5" w:rsidRDefault="00872FCA">
            <w:pPr>
              <w:spacing w:before="60" w:after="60"/>
              <w:jc w:val="center"/>
              <w:rPr>
                <w:sz w:val="24"/>
                <w:szCs w:val="24"/>
              </w:rPr>
            </w:pPr>
            <w:r w:rsidRPr="002033A5">
              <w:rPr>
                <w:sz w:val="24"/>
                <w:szCs w:val="24"/>
              </w:rPr>
              <w:t>1</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FFDCDA" w14:textId="77777777" w:rsidR="00245983" w:rsidRPr="002033A5" w:rsidRDefault="00245983">
            <w:pPr>
              <w:pStyle w:val="let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C88DA7" w14:textId="77777777" w:rsidR="00245983" w:rsidRPr="002033A5" w:rsidRDefault="00245983">
            <w:pPr>
              <w:pStyle w:val="letter"/>
              <w:jc w:val="cen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EF469C" w14:textId="77777777" w:rsidR="00245983" w:rsidRPr="002033A5" w:rsidRDefault="0024598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74D41E" w14:textId="77777777" w:rsidR="00245983" w:rsidRPr="002033A5" w:rsidRDefault="00245983">
            <w:pPr>
              <w:spacing w:before="60" w:after="60"/>
              <w:rPr>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A7011" w14:textId="77777777" w:rsidR="00245983" w:rsidRPr="002033A5" w:rsidRDefault="00245983">
            <w:pPr>
              <w:spacing w:before="60" w:after="60"/>
              <w:rPr>
                <w:sz w:val="24"/>
                <w:szCs w:val="24"/>
              </w:rPr>
            </w:pPr>
          </w:p>
        </w:tc>
      </w:tr>
      <w:tr w:rsidR="00245983" w:rsidRPr="002033A5" w14:paraId="1B22D40E"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DB7DEF" w14:textId="77777777" w:rsidR="00245983" w:rsidRPr="002033A5" w:rsidRDefault="00872FCA">
            <w:pPr>
              <w:spacing w:before="60" w:after="60"/>
              <w:jc w:val="center"/>
              <w:rPr>
                <w:sz w:val="24"/>
                <w:szCs w:val="24"/>
              </w:rPr>
            </w:pPr>
            <w:r w:rsidRPr="002033A5">
              <w:rPr>
                <w:sz w:val="24"/>
                <w:szCs w:val="24"/>
              </w:rPr>
              <w:t>2</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7AF17F" w14:textId="77777777" w:rsidR="00245983" w:rsidRPr="002033A5" w:rsidRDefault="00245983">
            <w:pPr>
              <w:pStyle w:val="let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8F6D67" w14:textId="77777777" w:rsidR="00245983" w:rsidRPr="002033A5" w:rsidRDefault="00245983">
            <w:pPr>
              <w:pStyle w:val="letter"/>
              <w:jc w:val="cen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64E136" w14:textId="77777777" w:rsidR="00245983" w:rsidRPr="002033A5" w:rsidRDefault="0024598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09175" w14:textId="77777777" w:rsidR="00245983" w:rsidRPr="002033A5" w:rsidRDefault="00245983">
            <w:pPr>
              <w:spacing w:before="60" w:after="60"/>
              <w:jc w:val="center"/>
              <w:rPr>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79223A" w14:textId="77777777" w:rsidR="00245983" w:rsidRPr="002033A5" w:rsidRDefault="00245983">
            <w:pPr>
              <w:spacing w:before="60" w:after="60"/>
              <w:rPr>
                <w:sz w:val="24"/>
                <w:szCs w:val="24"/>
              </w:rPr>
            </w:pPr>
          </w:p>
        </w:tc>
      </w:tr>
      <w:tr w:rsidR="00245983" w:rsidRPr="002033A5" w14:paraId="2529DFD3"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2DCD6B" w14:textId="77777777" w:rsidR="00245983" w:rsidRPr="002033A5" w:rsidRDefault="00872FCA">
            <w:pPr>
              <w:spacing w:before="60" w:after="60"/>
              <w:jc w:val="center"/>
              <w:rPr>
                <w:sz w:val="24"/>
                <w:szCs w:val="24"/>
              </w:rPr>
            </w:pPr>
            <w:r w:rsidRPr="002033A5">
              <w:rPr>
                <w:sz w:val="24"/>
                <w:szCs w:val="24"/>
              </w:rPr>
              <w:t>3</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2E3B6A" w14:textId="77777777" w:rsidR="00245983" w:rsidRPr="002033A5" w:rsidRDefault="00245983">
            <w:pPr>
              <w:pStyle w:val="let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AA3E87" w14:textId="77777777" w:rsidR="00245983" w:rsidRPr="002033A5" w:rsidRDefault="00245983">
            <w:pPr>
              <w:pStyle w:val="letter"/>
              <w:jc w:val="cen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2DA5E5" w14:textId="77777777" w:rsidR="00245983" w:rsidRPr="002033A5" w:rsidRDefault="0024598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422EC3" w14:textId="77777777" w:rsidR="00245983" w:rsidRPr="002033A5" w:rsidRDefault="00245983">
            <w:pPr>
              <w:spacing w:before="60" w:after="60"/>
              <w:jc w:val="center"/>
              <w:rPr>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08D040" w14:textId="77777777" w:rsidR="00245983" w:rsidRPr="002033A5" w:rsidRDefault="00245983">
            <w:pPr>
              <w:spacing w:before="60" w:after="60"/>
              <w:rPr>
                <w:sz w:val="24"/>
                <w:szCs w:val="24"/>
              </w:rPr>
            </w:pPr>
          </w:p>
        </w:tc>
      </w:tr>
      <w:tr w:rsidR="00245983" w:rsidRPr="002033A5" w14:paraId="6808736F"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7C5A72" w14:textId="77777777" w:rsidR="00245983" w:rsidRPr="002033A5" w:rsidRDefault="00872FCA">
            <w:pPr>
              <w:spacing w:before="60" w:after="60"/>
              <w:jc w:val="center"/>
              <w:rPr>
                <w:sz w:val="24"/>
                <w:szCs w:val="24"/>
              </w:rPr>
            </w:pPr>
            <w:r w:rsidRPr="002033A5">
              <w:rPr>
                <w:sz w:val="24"/>
                <w:szCs w:val="24"/>
              </w:rPr>
              <w:t>4</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A6BB7B" w14:textId="77777777" w:rsidR="00245983" w:rsidRPr="002033A5" w:rsidRDefault="00245983">
            <w:pPr>
              <w:pStyle w:val="let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731F06" w14:textId="77777777" w:rsidR="00245983" w:rsidRPr="002033A5" w:rsidRDefault="00245983">
            <w:pPr>
              <w:pStyle w:val="let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79EBA4" w14:textId="77777777" w:rsidR="00245983" w:rsidRPr="002033A5" w:rsidRDefault="0024598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51D0D7" w14:textId="77777777" w:rsidR="00245983" w:rsidRPr="002033A5" w:rsidRDefault="00245983">
            <w:pPr>
              <w:spacing w:before="60" w:after="60"/>
              <w:jc w:val="center"/>
              <w:rPr>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C58EE9" w14:textId="77777777" w:rsidR="00245983" w:rsidRPr="002033A5" w:rsidRDefault="00245983">
            <w:pPr>
              <w:spacing w:before="60" w:after="60"/>
              <w:rPr>
                <w:sz w:val="24"/>
                <w:szCs w:val="24"/>
              </w:rPr>
            </w:pPr>
          </w:p>
        </w:tc>
      </w:tr>
      <w:tr w:rsidR="00245983" w:rsidRPr="002033A5" w14:paraId="119CF6D5" w14:textId="77777777">
        <w:trPr>
          <w:trHeight w:val="323"/>
          <w:jc w:val="center"/>
        </w:trPr>
        <w:tc>
          <w:tcPr>
            <w:tcW w:w="9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414DA8" w14:textId="77777777" w:rsidR="00245983" w:rsidRPr="002033A5" w:rsidRDefault="00872FCA">
            <w:pPr>
              <w:spacing w:before="60" w:after="60"/>
              <w:jc w:val="center"/>
              <w:rPr>
                <w:sz w:val="24"/>
                <w:szCs w:val="24"/>
              </w:rPr>
            </w:pPr>
            <w:r w:rsidRPr="002033A5">
              <w:rPr>
                <w:sz w:val="24"/>
                <w:szCs w:val="24"/>
              </w:rPr>
              <w:t>5</w:t>
            </w:r>
          </w:p>
        </w:tc>
        <w:tc>
          <w:tcPr>
            <w:tcW w:w="2858" w:type="dxa"/>
            <w:tcBorders>
              <w:top w:val="single" w:sz="4" w:space="0" w:color="00000A"/>
              <w:left w:val="single" w:sz="4" w:space="0" w:color="00000A"/>
              <w:bottom w:val="single" w:sz="4" w:space="0" w:color="00000A"/>
            </w:tcBorders>
            <w:shd w:val="clear" w:color="auto" w:fill="auto"/>
            <w:tcMar>
              <w:left w:w="108" w:type="dxa"/>
            </w:tcMar>
            <w:vAlign w:val="center"/>
          </w:tcPr>
          <w:p w14:paraId="0F4CE1D4" w14:textId="77777777" w:rsidR="00245983" w:rsidRPr="002033A5" w:rsidRDefault="00245983">
            <w:pPr>
              <w:rPr>
                <w:bCs/>
                <w:sz w:val="24"/>
                <w:szCs w:val="24"/>
              </w:rPr>
            </w:pPr>
          </w:p>
        </w:tc>
        <w:tc>
          <w:tcPr>
            <w:tcW w:w="1399" w:type="dxa"/>
            <w:tcBorders>
              <w:top w:val="single" w:sz="4" w:space="0" w:color="00000A"/>
              <w:bottom w:val="single" w:sz="4" w:space="0" w:color="00000A"/>
              <w:right w:val="single" w:sz="4" w:space="0" w:color="00000A"/>
            </w:tcBorders>
            <w:shd w:val="clear" w:color="auto" w:fill="auto"/>
            <w:vAlign w:val="center"/>
          </w:tcPr>
          <w:p w14:paraId="1380338C" w14:textId="77777777" w:rsidR="00245983" w:rsidRPr="002033A5" w:rsidRDefault="00245983">
            <w:pPr>
              <w:jc w:val="center"/>
              <w:rPr>
                <w:sz w:val="24"/>
                <w:szCs w:val="24"/>
              </w:rPr>
            </w:pP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4637CF" w14:textId="77777777" w:rsidR="00245983" w:rsidRPr="002033A5" w:rsidRDefault="00872FCA">
            <w:pPr>
              <w:spacing w:before="60" w:after="60"/>
              <w:jc w:val="center"/>
              <w:rPr>
                <w:sz w:val="24"/>
                <w:szCs w:val="24"/>
              </w:rPr>
            </w:pPr>
            <w:r w:rsidRPr="002033A5">
              <w:rPr>
                <w:sz w:val="24"/>
                <w:szCs w:val="24"/>
              </w:rPr>
              <w:t>Chacun</w:t>
            </w: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D7D1A5" w14:textId="77777777" w:rsidR="00245983" w:rsidRPr="002033A5" w:rsidRDefault="00245983">
            <w:pPr>
              <w:spacing w:before="60" w:after="60"/>
              <w:rPr>
                <w:sz w:val="24"/>
                <w:szCs w:val="24"/>
                <w:highlight w:val="yellow"/>
              </w:rPr>
            </w:pP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9291CB" w14:textId="77777777" w:rsidR="00245983" w:rsidRPr="002033A5" w:rsidRDefault="00245983">
            <w:pPr>
              <w:spacing w:before="60" w:after="60"/>
              <w:jc w:val="center"/>
              <w:rPr>
                <w:sz w:val="24"/>
                <w:szCs w:val="24"/>
              </w:rPr>
            </w:pPr>
          </w:p>
        </w:tc>
        <w:tc>
          <w:tcPr>
            <w:tcW w:w="12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EFCD1F" w14:textId="77777777" w:rsidR="00245983" w:rsidRPr="002033A5" w:rsidRDefault="00245983">
            <w:pPr>
              <w:spacing w:before="60" w:after="60"/>
              <w:rPr>
                <w:sz w:val="24"/>
                <w:szCs w:val="24"/>
              </w:rPr>
            </w:pPr>
          </w:p>
        </w:tc>
      </w:tr>
      <w:tr w:rsidR="00245983" w:rsidRPr="002033A5" w14:paraId="775611D8" w14:textId="77777777">
        <w:trPr>
          <w:trHeight w:val="323"/>
          <w:jc w:val="center"/>
        </w:trPr>
        <w:tc>
          <w:tcPr>
            <w:tcW w:w="9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5F151" w14:textId="77777777" w:rsidR="00245983" w:rsidRPr="002033A5" w:rsidRDefault="00245983">
            <w:pPr>
              <w:spacing w:before="60" w:after="60"/>
              <w:jc w:val="center"/>
              <w:rPr>
                <w:sz w:val="24"/>
                <w:szCs w:val="24"/>
              </w:rPr>
            </w:pP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F78325" w14:textId="77777777" w:rsidR="00245983" w:rsidRPr="002033A5" w:rsidRDefault="00245983">
            <w:pPr>
              <w:jc w:val="right"/>
              <w:rPr>
                <w:bCs/>
                <w:sz w:val="24"/>
                <w:szCs w:val="24"/>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6F10A9" w14:textId="77777777" w:rsidR="00245983" w:rsidRPr="002033A5" w:rsidRDefault="00245983">
            <w:pPr>
              <w:spacing w:before="60" w:after="60"/>
              <w:jc w:val="center"/>
              <w:rPr>
                <w:sz w:val="24"/>
                <w:szCs w:val="24"/>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F04A7" w14:textId="77777777" w:rsidR="00245983" w:rsidRPr="002033A5" w:rsidRDefault="00245983">
            <w:pPr>
              <w:spacing w:before="60" w:after="60"/>
              <w:rPr>
                <w:sz w:val="24"/>
                <w:szCs w:val="24"/>
                <w:highlight w:val="yellow"/>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C24BAA" w14:textId="77777777" w:rsidR="00245983" w:rsidRPr="002033A5" w:rsidRDefault="00245983">
            <w:pPr>
              <w:spacing w:before="60" w:after="60"/>
              <w:jc w:val="center"/>
              <w:rPr>
                <w:sz w:val="24"/>
                <w:szCs w:val="24"/>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DDA028" w14:textId="77777777" w:rsidR="00245983" w:rsidRPr="002033A5" w:rsidRDefault="00245983">
            <w:pPr>
              <w:spacing w:before="60" w:after="60"/>
              <w:rPr>
                <w:sz w:val="24"/>
                <w:szCs w:val="24"/>
              </w:rPr>
            </w:pPr>
          </w:p>
        </w:tc>
      </w:tr>
      <w:tr w:rsidR="00245983" w:rsidRPr="002033A5" w14:paraId="60929223" w14:textId="77777777">
        <w:trPr>
          <w:trHeight w:val="323"/>
          <w:jc w:val="center"/>
        </w:trPr>
        <w:tc>
          <w:tcPr>
            <w:tcW w:w="890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F77A37" w14:textId="77777777" w:rsidR="00245983" w:rsidRPr="002033A5" w:rsidRDefault="00872FCA">
            <w:pPr>
              <w:spacing w:before="60" w:after="60"/>
              <w:jc w:val="right"/>
              <w:rPr>
                <w:sz w:val="24"/>
                <w:szCs w:val="24"/>
              </w:rPr>
            </w:pPr>
            <w:r w:rsidRPr="002033A5">
              <w:rPr>
                <w:sz w:val="24"/>
                <w:szCs w:val="24"/>
              </w:rPr>
              <w:t>TOTAL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85571" w14:textId="77777777" w:rsidR="00245983" w:rsidRPr="002033A5" w:rsidRDefault="00245983">
            <w:pPr>
              <w:spacing w:before="60" w:after="60"/>
              <w:rPr>
                <w:sz w:val="24"/>
                <w:szCs w:val="24"/>
              </w:rPr>
            </w:pPr>
          </w:p>
        </w:tc>
      </w:tr>
    </w:tbl>
    <w:p w14:paraId="71FD2A7E" w14:textId="77777777" w:rsidR="00245983" w:rsidRPr="002033A5" w:rsidRDefault="00245983">
      <w:pPr>
        <w:rPr>
          <w:b/>
          <w:bCs/>
          <w:sz w:val="24"/>
          <w:szCs w:val="24"/>
        </w:rPr>
      </w:pPr>
    </w:p>
    <w:p w14:paraId="1854258D" w14:textId="77777777" w:rsidR="00245983" w:rsidRPr="002033A5" w:rsidRDefault="00872FCA">
      <w:pPr>
        <w:tabs>
          <w:tab w:val="left" w:pos="0"/>
          <w:tab w:val="right" w:pos="1980"/>
          <w:tab w:val="left" w:pos="2160"/>
          <w:tab w:val="left" w:pos="4320"/>
        </w:tabs>
        <w:rPr>
          <w:b/>
          <w:bCs/>
          <w:sz w:val="24"/>
          <w:szCs w:val="24"/>
        </w:rPr>
      </w:pPr>
      <w:r w:rsidRPr="002033A5">
        <w:rPr>
          <w:b/>
          <w:bCs/>
          <w:noProof/>
          <w:sz w:val="24"/>
          <w:szCs w:val="24"/>
          <w:lang w:val="en-US"/>
        </w:rPr>
        <mc:AlternateContent>
          <mc:Choice Requires="wps">
            <w:drawing>
              <wp:anchor distT="0" distB="0" distL="114300" distR="113665" simplePos="0" relativeHeight="251656704" behindDoc="0" locked="0" layoutInCell="1" allowOverlap="1" wp14:anchorId="2B5461ED" wp14:editId="5F3D7EFD">
                <wp:simplePos x="0" y="0"/>
                <wp:positionH relativeFrom="column">
                  <wp:posOffset>0</wp:posOffset>
                </wp:positionH>
                <wp:positionV relativeFrom="paragraph">
                  <wp:posOffset>52070</wp:posOffset>
                </wp:positionV>
                <wp:extent cx="6180455" cy="686435"/>
                <wp:effectExtent l="11430" t="8255" r="9525" b="10795"/>
                <wp:wrapNone/>
                <wp:docPr id="3" name="Text Box 1"/>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28DBCE41" w14:textId="77777777" w:rsidR="009C2C3A" w:rsidRDefault="009C2C3A">
                            <w:pPr>
                              <w:pStyle w:val="FrameContents"/>
                            </w:pPr>
                            <w:r>
                              <w:rPr>
                                <w:rFonts w:ascii="Calibri" w:hAnsi="Calibri" w:cs="Calibri"/>
                                <w:i/>
                                <w:iCs/>
                              </w:rPr>
                              <w:t>Commentaires du vendeur</w:t>
                            </w:r>
                            <w:r>
                              <w:rPr>
                                <w:i/>
                                <w:iCs/>
                              </w:rPr>
                              <w:t>:</w:t>
                            </w:r>
                          </w:p>
                        </w:txbxContent>
                      </wps:txbx>
                      <wps:bodyPr>
                        <a:noAutofit/>
                      </wps:bodyPr>
                    </wps:wsp>
                  </a:graphicData>
                </a:graphic>
              </wp:anchor>
            </w:drawing>
          </mc:Choice>
          <mc:Fallback>
            <w:pict>
              <v:rect w14:anchorId="2B5461ED" id="Text Box 1" o:spid="_x0000_s1027" style="position:absolute;margin-left:0;margin-top:4.1pt;width:486.65pt;height:54.05pt;z-index:251656704;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" filled="f" strokeweight=".26mm">
                <v:textbox>
                  <w:txbxContent>
                    <w:p w14:paraId="28DBCE41" w14:textId="77777777" w:rsidR="009C2C3A" w:rsidRDefault="009C2C3A">
                      <w:pPr>
                        <w:pStyle w:val="FrameContents"/>
                      </w:pPr>
                      <w:r>
                        <w:rPr>
                          <w:rFonts w:ascii="Calibri" w:hAnsi="Calibri" w:cs="Calibri"/>
                          <w:i/>
                          <w:iCs/>
                        </w:rPr>
                        <w:t xml:space="preserve">Commentaires du </w:t>
                      </w:r>
                      <w:proofErr w:type="gramStart"/>
                      <w:r>
                        <w:rPr>
                          <w:rFonts w:ascii="Calibri" w:hAnsi="Calibri" w:cs="Calibri"/>
                          <w:i/>
                          <w:iCs/>
                        </w:rPr>
                        <w:t>vendeur</w:t>
                      </w:r>
                      <w:r>
                        <w:rPr>
                          <w:i/>
                          <w:iCs/>
                        </w:rPr>
                        <w:t>:</w:t>
                      </w:r>
                      <w:proofErr w:type="gramEnd"/>
                    </w:p>
                  </w:txbxContent>
                </v:textbox>
              </v:rect>
            </w:pict>
          </mc:Fallback>
        </mc:AlternateContent>
      </w:r>
    </w:p>
    <w:p w14:paraId="6F315CC6" w14:textId="77777777" w:rsidR="00245983" w:rsidRPr="002033A5" w:rsidRDefault="00245983">
      <w:pPr>
        <w:tabs>
          <w:tab w:val="left" w:pos="0"/>
          <w:tab w:val="right" w:pos="1980"/>
          <w:tab w:val="left" w:pos="2160"/>
          <w:tab w:val="left" w:pos="4320"/>
        </w:tabs>
        <w:rPr>
          <w:b/>
          <w:bCs/>
          <w:sz w:val="24"/>
          <w:szCs w:val="24"/>
        </w:rPr>
      </w:pPr>
    </w:p>
    <w:p w14:paraId="53C10DDE" w14:textId="77777777" w:rsidR="00245983" w:rsidRPr="002033A5" w:rsidRDefault="00245983">
      <w:pPr>
        <w:tabs>
          <w:tab w:val="left" w:pos="0"/>
          <w:tab w:val="right" w:pos="1980"/>
          <w:tab w:val="left" w:pos="2160"/>
          <w:tab w:val="left" w:pos="4320"/>
        </w:tabs>
        <w:rPr>
          <w:b/>
          <w:bCs/>
          <w:sz w:val="24"/>
          <w:szCs w:val="24"/>
        </w:rPr>
      </w:pPr>
    </w:p>
    <w:p w14:paraId="303DD3E4" w14:textId="77777777" w:rsidR="00245983" w:rsidRPr="002033A5" w:rsidRDefault="00245983">
      <w:pPr>
        <w:tabs>
          <w:tab w:val="left" w:pos="0"/>
          <w:tab w:val="right" w:pos="1980"/>
          <w:tab w:val="left" w:pos="2160"/>
          <w:tab w:val="left" w:pos="4320"/>
        </w:tabs>
        <w:rPr>
          <w:b/>
          <w:bCs/>
          <w:sz w:val="24"/>
          <w:szCs w:val="24"/>
        </w:rPr>
      </w:pPr>
    </w:p>
    <w:p w14:paraId="4EF6AE4A" w14:textId="77777777" w:rsidR="00245983" w:rsidRPr="002033A5" w:rsidRDefault="00245983">
      <w:pPr>
        <w:tabs>
          <w:tab w:val="left" w:pos="0"/>
          <w:tab w:val="right" w:pos="1980"/>
          <w:tab w:val="left" w:pos="2160"/>
          <w:tab w:val="left" w:pos="4320"/>
        </w:tabs>
        <w:rPr>
          <w:b/>
          <w:bCs/>
          <w:sz w:val="24"/>
          <w:szCs w:val="24"/>
        </w:rPr>
      </w:pPr>
    </w:p>
    <w:p w14:paraId="68892C44" w14:textId="45B92493" w:rsidR="00245983" w:rsidRPr="002033A5" w:rsidRDefault="00872FCA">
      <w:pPr>
        <w:pStyle w:val="ListParagraph"/>
        <w:tabs>
          <w:tab w:val="left" w:pos="851"/>
        </w:tabs>
        <w:overflowPunct w:val="0"/>
        <w:spacing w:line="276" w:lineRule="auto"/>
        <w:ind w:left="0"/>
        <w:contextualSpacing/>
        <w:jc w:val="both"/>
        <w:textAlignment w:val="auto"/>
        <w:rPr>
          <w:sz w:val="24"/>
          <w:szCs w:val="24"/>
        </w:rPr>
      </w:pPr>
      <w:r w:rsidRPr="002033A5">
        <w:rPr>
          <w:sz w:val="24"/>
          <w:szCs w:val="24"/>
        </w:rPr>
        <w:t xml:space="preserve">Je certifie par la présente que la société mentionnée ci-dessus, au nom de laquelle je suis dûment autorisé à signer, a examiné la </w:t>
      </w:r>
      <w:r w:rsidR="005B5582" w:rsidRPr="002033A5">
        <w:rPr>
          <w:sz w:val="24"/>
          <w:szCs w:val="24"/>
        </w:rPr>
        <w:t xml:space="preserve">Demande de Cotation </w:t>
      </w:r>
      <w:r w:rsidRPr="002033A5">
        <w:rPr>
          <w:b/>
          <w:sz w:val="24"/>
          <w:szCs w:val="24"/>
        </w:rPr>
        <w:t>UNFPA/</w:t>
      </w:r>
      <w:r w:rsidR="00EC5C1A" w:rsidRPr="002033A5">
        <w:rPr>
          <w:b/>
          <w:sz w:val="24"/>
          <w:szCs w:val="24"/>
        </w:rPr>
        <w:t>HTI</w:t>
      </w:r>
      <w:r w:rsidRPr="002033A5">
        <w:rPr>
          <w:b/>
          <w:sz w:val="24"/>
          <w:szCs w:val="24"/>
        </w:rPr>
        <w:t>/RFQ/</w:t>
      </w:r>
      <w:r w:rsidR="001B0C5B" w:rsidRPr="002033A5">
        <w:rPr>
          <w:b/>
          <w:sz w:val="24"/>
          <w:szCs w:val="24"/>
        </w:rPr>
        <w:t>23</w:t>
      </w:r>
      <w:r w:rsidRPr="002033A5">
        <w:rPr>
          <w:b/>
          <w:sz w:val="24"/>
          <w:szCs w:val="24"/>
        </w:rPr>
        <w:t>/</w:t>
      </w:r>
      <w:r w:rsidR="00FF23CE">
        <w:rPr>
          <w:b/>
          <w:sz w:val="24"/>
          <w:szCs w:val="24"/>
        </w:rPr>
        <w:t>03</w:t>
      </w:r>
      <w:r w:rsidR="00D73BEF">
        <w:rPr>
          <w:b/>
          <w:sz w:val="24"/>
          <w:szCs w:val="24"/>
        </w:rPr>
        <w:t>2</w:t>
      </w:r>
      <w:r w:rsidRPr="002033A5">
        <w:rPr>
          <w:sz w:val="24"/>
          <w:szCs w:val="24"/>
        </w:rPr>
        <w:t xml:space="preserve">, y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2"/>
        <w:gridCol w:w="2309"/>
        <w:gridCol w:w="2311"/>
      </w:tblGrid>
      <w:tr w:rsidR="00245983" w:rsidRPr="002033A5" w14:paraId="7216FBF1" w14:textId="77777777">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71740F4E" w14:textId="77777777" w:rsidR="00245983" w:rsidRPr="002033A5" w:rsidRDefault="00245983">
            <w:pPr>
              <w:tabs>
                <w:tab w:val="left" w:pos="0"/>
                <w:tab w:val="right" w:pos="1980"/>
                <w:tab w:val="left" w:pos="2160"/>
                <w:tab w:val="left" w:pos="4320"/>
              </w:tabs>
              <w:rPr>
                <w:rFonts w:eastAsia="Calibri"/>
                <w:bCs/>
                <w:sz w:val="24"/>
                <w:szCs w:val="24"/>
              </w:rPr>
            </w:pPr>
          </w:p>
          <w:p w14:paraId="0C7C250A" w14:textId="77777777" w:rsidR="00245983" w:rsidRPr="002033A5" w:rsidRDefault="00245983">
            <w:pPr>
              <w:tabs>
                <w:tab w:val="left" w:pos="0"/>
                <w:tab w:val="right" w:pos="1980"/>
                <w:tab w:val="left" w:pos="2160"/>
                <w:tab w:val="left" w:pos="4320"/>
              </w:tabs>
              <w:rPr>
                <w:rFonts w:eastAsia="Calibri"/>
                <w:bCs/>
                <w:sz w:val="24"/>
                <w:szCs w:val="24"/>
              </w:rPr>
            </w:pPr>
          </w:p>
          <w:p w14:paraId="11A5B44C" w14:textId="77777777" w:rsidR="00245983" w:rsidRPr="002033A5" w:rsidRDefault="00245983">
            <w:pPr>
              <w:tabs>
                <w:tab w:val="left" w:pos="0"/>
                <w:tab w:val="right" w:pos="1980"/>
                <w:tab w:val="left" w:pos="2160"/>
                <w:tab w:val="left" w:pos="4320"/>
              </w:tabs>
              <w:rPr>
                <w:rFonts w:eastAsia="Calibri"/>
                <w:bCs/>
                <w:sz w:val="24"/>
                <w:szCs w:val="24"/>
              </w:rPr>
            </w:pPr>
          </w:p>
        </w:tc>
        <w:tc>
          <w:tcPr>
            <w:tcW w:w="2309" w:type="dxa"/>
            <w:tcBorders>
              <w:top w:val="single" w:sz="4" w:space="0" w:color="D9D9D9"/>
              <w:left w:val="single" w:sz="4" w:space="0" w:color="D9D9D9"/>
              <w:bottom w:val="single" w:sz="4" w:space="0" w:color="D9D9D9"/>
            </w:tcBorders>
            <w:shd w:val="clear" w:color="auto" w:fill="auto"/>
            <w:tcMar>
              <w:left w:w="108" w:type="dxa"/>
            </w:tcMar>
            <w:vAlign w:val="center"/>
          </w:tcPr>
          <w:p w14:paraId="1D027BE9" w14:textId="77777777" w:rsidR="00245983" w:rsidRPr="002033A5" w:rsidRDefault="00000000">
            <w:pPr>
              <w:tabs>
                <w:tab w:val="left" w:pos="0"/>
                <w:tab w:val="right" w:pos="1980"/>
                <w:tab w:val="left" w:pos="2160"/>
                <w:tab w:val="left" w:pos="4320"/>
              </w:tabs>
              <w:jc w:val="center"/>
              <w:rPr>
                <w:rFonts w:eastAsia="Calibri"/>
                <w:bCs/>
                <w:sz w:val="24"/>
                <w:szCs w:val="24"/>
              </w:rPr>
            </w:pPr>
            <w:sdt>
              <w:sdtPr>
                <w:rPr>
                  <w:sz w:val="24"/>
                  <w:szCs w:val="24"/>
                </w:rPr>
                <w:id w:val="874813729"/>
                <w:date>
                  <w:dateFormat w:val="dd/MM/yyyy"/>
                  <w:lid w:val="en-GB"/>
                  <w:storeMappedDataAs w:val="dateTime"/>
                  <w:calendar w:val="gregorian"/>
                </w:date>
              </w:sdtPr>
              <w:sdtContent>
                <w:r w:rsidR="00872FCA" w:rsidRPr="002033A5">
                  <w:rPr>
                    <w:rFonts w:eastAsiaTheme="minorHAnsi"/>
                    <w:sz w:val="24"/>
                    <w:szCs w:val="24"/>
                  </w:rPr>
                  <w:t>Cliquez ici pour indiquer une date.</w:t>
                </w:r>
              </w:sdtContent>
            </w:sdt>
          </w:p>
        </w:tc>
        <w:tc>
          <w:tcPr>
            <w:tcW w:w="2311" w:type="dxa"/>
            <w:tcBorders>
              <w:top w:val="single" w:sz="4" w:space="0" w:color="D9D9D9"/>
              <w:bottom w:val="single" w:sz="4" w:space="0" w:color="D9D9D9"/>
              <w:right w:val="single" w:sz="4" w:space="0" w:color="D9D9D9"/>
            </w:tcBorders>
            <w:shd w:val="clear" w:color="auto" w:fill="auto"/>
            <w:vAlign w:val="center"/>
          </w:tcPr>
          <w:p w14:paraId="03586B3F" w14:textId="77777777" w:rsidR="00245983" w:rsidRPr="002033A5" w:rsidRDefault="00245983">
            <w:pPr>
              <w:tabs>
                <w:tab w:val="left" w:pos="0"/>
                <w:tab w:val="right" w:pos="1980"/>
                <w:tab w:val="left" w:pos="2160"/>
                <w:tab w:val="left" w:pos="4320"/>
              </w:tabs>
              <w:rPr>
                <w:rFonts w:eastAsia="Calibri"/>
                <w:bCs/>
                <w:sz w:val="24"/>
                <w:szCs w:val="24"/>
              </w:rPr>
            </w:pPr>
          </w:p>
        </w:tc>
      </w:tr>
      <w:tr w:rsidR="00245983" w:rsidRPr="002033A5" w14:paraId="6667D049" w14:textId="77777777">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76CC4542" w14:textId="77777777" w:rsidR="00245983" w:rsidRPr="002033A5" w:rsidRDefault="00872FCA">
            <w:pPr>
              <w:tabs>
                <w:tab w:val="left" w:pos="0"/>
                <w:tab w:val="right" w:pos="1980"/>
                <w:tab w:val="left" w:pos="2160"/>
                <w:tab w:val="left" w:pos="4320"/>
              </w:tabs>
              <w:jc w:val="center"/>
              <w:rPr>
                <w:rFonts w:eastAsia="Calibri"/>
                <w:bCs/>
                <w:sz w:val="24"/>
                <w:szCs w:val="24"/>
              </w:rPr>
            </w:pPr>
            <w:r w:rsidRPr="002033A5">
              <w:rPr>
                <w:rFonts w:eastAsia="Calibri"/>
                <w:bCs/>
                <w:sz w:val="24"/>
                <w:szCs w:val="24"/>
              </w:rPr>
              <w:t>Nom et titre</w:t>
            </w:r>
          </w:p>
        </w:tc>
        <w:tc>
          <w:tcPr>
            <w:tcW w:w="462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1589E6CC" w14:textId="77777777" w:rsidR="00245983" w:rsidRPr="002033A5" w:rsidRDefault="00872FCA">
            <w:pPr>
              <w:tabs>
                <w:tab w:val="left" w:pos="0"/>
                <w:tab w:val="right" w:pos="1980"/>
                <w:tab w:val="left" w:pos="2160"/>
                <w:tab w:val="left" w:pos="4320"/>
              </w:tabs>
              <w:jc w:val="center"/>
              <w:rPr>
                <w:rFonts w:eastAsia="Calibri"/>
                <w:bCs/>
                <w:sz w:val="24"/>
                <w:szCs w:val="24"/>
              </w:rPr>
            </w:pPr>
            <w:r w:rsidRPr="002033A5">
              <w:rPr>
                <w:rFonts w:eastAsia="Calibri"/>
                <w:bCs/>
                <w:sz w:val="24"/>
                <w:szCs w:val="24"/>
              </w:rPr>
              <w:t>Date et lieu</w:t>
            </w:r>
          </w:p>
        </w:tc>
      </w:tr>
    </w:tbl>
    <w:p w14:paraId="37AE78DB" w14:textId="77777777" w:rsidR="00245983" w:rsidRPr="002033A5" w:rsidRDefault="00245983">
      <w:pPr>
        <w:rPr>
          <w:sz w:val="24"/>
          <w:szCs w:val="24"/>
        </w:rPr>
      </w:pPr>
    </w:p>
    <w:sectPr w:rsidR="00245983" w:rsidRPr="002033A5" w:rsidSect="00FA30C0">
      <w:headerReference w:type="default" r:id="rId17"/>
      <w:footerReference w:type="default" r:id="rId18"/>
      <w:pgSz w:w="11906" w:h="16838"/>
      <w:pgMar w:top="720" w:right="720" w:bottom="720" w:left="72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755A" w14:textId="77777777" w:rsidR="00AA0730" w:rsidRDefault="00AA0730">
      <w:r>
        <w:separator/>
      </w:r>
    </w:p>
  </w:endnote>
  <w:endnote w:type="continuationSeparator" w:id="0">
    <w:p w14:paraId="279EAA5B" w14:textId="77777777" w:rsidR="00AA0730" w:rsidRDefault="00AA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FPA-Tex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CAC0" w14:textId="77777777" w:rsidR="009C2C3A" w:rsidRPr="00C035CF" w:rsidRDefault="009C2C3A">
    <w:pPr>
      <w:pStyle w:val="UNFPAAddress"/>
      <w:tabs>
        <w:tab w:val="right" w:pos="9720"/>
      </w:tabs>
      <w:spacing w:line="230" w:lineRule="exact"/>
      <w:ind w:right="360"/>
      <w:rPr>
        <w:rFonts w:ascii="Calibri" w:hAnsi="Calibri"/>
        <w:sz w:val="18"/>
        <w:szCs w:val="18"/>
        <w:lang w:val="en-GB"/>
      </w:rPr>
    </w:pPr>
    <w:r w:rsidRPr="00C035CF">
      <w:rPr>
        <w:rFonts w:ascii="Calibri" w:hAnsi="Calibri"/>
        <w:sz w:val="18"/>
        <w:szCs w:val="18"/>
        <w:lang w:val="en-GB"/>
      </w:rPr>
      <w:t>UNFPA/PSB/Bids/Request for Quotation for Goods/RFQ/</w:t>
    </w:r>
    <w:r w:rsidRPr="00C035CF">
      <w:rPr>
        <w:rFonts w:ascii="Calibri" w:hAnsi="Calibri"/>
        <w:lang w:val="en-GB"/>
      </w:rPr>
      <w:t xml:space="preserve"> </w:t>
    </w:r>
    <w:r w:rsidRPr="00C035CF">
      <w:rPr>
        <w:rFonts w:ascii="Calibri" w:hAnsi="Calibri"/>
        <w:sz w:val="18"/>
        <w:szCs w:val="18"/>
        <w:lang w:val="en-GB"/>
      </w:rPr>
      <w:t>RFQ Goods [0</w:t>
    </w:r>
    <w:r>
      <w:rPr>
        <w:rFonts w:ascii="Calibri" w:hAnsi="Calibri"/>
        <w:sz w:val="18"/>
        <w:szCs w:val="18"/>
        <w:lang w:val="en-GB"/>
      </w:rPr>
      <w:t>616</w:t>
    </w:r>
    <w:r w:rsidRPr="00C035CF">
      <w:rPr>
        <w:rFonts w:ascii="Calibri" w:hAnsi="Calibri"/>
        <w:sz w:val="18"/>
        <w:szCs w:val="18"/>
        <w:lang w:val="en-GB"/>
      </w:rPr>
      <w:t xml:space="preserve"> – Rev0</w:t>
    </w:r>
    <w:r>
      <w:rPr>
        <w:rFonts w:ascii="Calibri" w:hAnsi="Calibri"/>
        <w:sz w:val="18"/>
        <w:szCs w:val="18"/>
        <w:lang w:val="en-GB"/>
      </w:rPr>
      <w:t>2</w:t>
    </w:r>
    <w:r w:rsidRPr="00C035CF">
      <w:rPr>
        <w:rFonts w:ascii="Calibri" w:hAnsi="Calibri"/>
        <w:sz w:val="18"/>
        <w:szCs w:val="1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712B" w14:textId="77777777" w:rsidR="00AA0730" w:rsidRDefault="00AA0730">
      <w:r>
        <w:separator/>
      </w:r>
    </w:p>
  </w:footnote>
  <w:footnote w:type="continuationSeparator" w:id="0">
    <w:p w14:paraId="4BAC1A47" w14:textId="77777777" w:rsidR="00AA0730" w:rsidRDefault="00AA0730">
      <w:r>
        <w:continuationSeparator/>
      </w:r>
    </w:p>
  </w:footnote>
  <w:footnote w:id="1">
    <w:p w14:paraId="05D5855A" w14:textId="77777777" w:rsidR="009C2C3A" w:rsidRDefault="009C2C3A">
      <w:pPr>
        <w:pStyle w:val="FootnoteText"/>
      </w:pPr>
      <w:r>
        <w:rPr>
          <w:rStyle w:val="FootnoteReference"/>
          <w:rFonts w:ascii="Calibri" w:hAnsi="Calibri" w:cs="Calibri"/>
        </w:rPr>
        <w:footnoteRef/>
      </w:r>
      <w:r>
        <w:rPr>
          <w:rStyle w:val="FootnoteReference"/>
          <w:rFonts w:ascii="Calibri" w:hAnsi="Calibri" w:cs="Calibri"/>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1D24" w14:textId="77777777" w:rsidR="009C2C3A" w:rsidRDefault="009C2C3A">
    <w:pPr>
      <w:pStyle w:val="Header"/>
    </w:pPr>
  </w:p>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9C2C3A" w:rsidRPr="00C73F28" w14:paraId="0992C624" w14:textId="77777777">
      <w:trPr>
        <w:trHeight w:val="1142"/>
      </w:trPr>
      <w:tc>
        <w:tcPr>
          <w:tcW w:w="4995" w:type="dxa"/>
          <w:tcBorders>
            <w:top w:val="single" w:sz="4" w:space="0" w:color="00000A"/>
            <w:bottom w:val="single" w:sz="4" w:space="0" w:color="00000A"/>
          </w:tcBorders>
          <w:shd w:val="clear" w:color="auto" w:fill="auto"/>
        </w:tcPr>
        <w:p w14:paraId="56BBE7B0" w14:textId="77777777" w:rsidR="009C2C3A" w:rsidRDefault="009C2C3A">
          <w:pPr>
            <w:pStyle w:val="Header"/>
            <w:rPr>
              <w:rFonts w:cs="Arial"/>
              <w:szCs w:val="22"/>
            </w:rPr>
          </w:pPr>
          <w:r>
            <w:rPr>
              <w:noProof/>
              <w:lang w:val="en-US"/>
            </w:rPr>
            <w:drawing>
              <wp:inline distT="0" distB="0" distL="0" distR="0" wp14:anchorId="29CF0AE1" wp14:editId="06E121AC">
                <wp:extent cx="971550" cy="457200"/>
                <wp:effectExtent l="0" t="0" r="0" b="0"/>
                <wp:docPr id="5"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louored%20logo"/>
                        <pic:cNvPicPr>
                          <a:picLocks noChangeAspect="1" noChangeArrowheads="1"/>
                        </pic:cNvPicPr>
                      </pic:nvPicPr>
                      <pic:blipFill>
                        <a:blip r:embed="rId1"/>
                        <a:stretch>
                          <a:fillRect/>
                        </a:stretch>
                      </pic:blipFill>
                      <pic:spPr bwMode="auto">
                        <a:xfrm>
                          <a:off x="0" y="0"/>
                          <a:ext cx="971550" cy="457200"/>
                        </a:xfrm>
                        <a:prstGeom prst="rect">
                          <a:avLst/>
                        </a:prstGeom>
                      </pic:spPr>
                    </pic:pic>
                  </a:graphicData>
                </a:graphic>
              </wp:inline>
            </w:drawing>
          </w:r>
        </w:p>
      </w:tc>
      <w:tc>
        <w:tcPr>
          <w:tcW w:w="4994" w:type="dxa"/>
          <w:tcBorders>
            <w:top w:val="single" w:sz="4" w:space="0" w:color="00000A"/>
            <w:bottom w:val="single" w:sz="4" w:space="0" w:color="00000A"/>
          </w:tcBorders>
          <w:shd w:val="clear" w:color="auto" w:fill="auto"/>
        </w:tcPr>
        <w:p w14:paraId="01B41D37" w14:textId="77777777" w:rsidR="009C2C3A" w:rsidRDefault="009C2C3A">
          <w:pPr>
            <w:pStyle w:val="Header"/>
            <w:jc w:val="right"/>
            <w:rPr>
              <w:rFonts w:ascii="Calibri" w:hAnsi="Calibri" w:cs="Arial"/>
              <w:sz w:val="18"/>
              <w:szCs w:val="18"/>
            </w:rPr>
          </w:pPr>
          <w:r>
            <w:rPr>
              <w:rFonts w:ascii="Calibri" w:hAnsi="Calibri" w:cs="Arial"/>
              <w:sz w:val="18"/>
              <w:szCs w:val="18"/>
            </w:rPr>
            <w:t>Fonds des Nations Unies pour la Population</w:t>
          </w:r>
        </w:p>
        <w:p w14:paraId="75D16506" w14:textId="77777777" w:rsidR="009C2C3A" w:rsidRDefault="009C2C3A">
          <w:pPr>
            <w:pStyle w:val="Header"/>
            <w:jc w:val="right"/>
            <w:rPr>
              <w:rFonts w:ascii="Calibri" w:hAnsi="Calibri" w:cs="Arial"/>
              <w:sz w:val="18"/>
              <w:szCs w:val="18"/>
            </w:rPr>
          </w:pPr>
          <w:r>
            <w:rPr>
              <w:rFonts w:ascii="Calibri" w:hAnsi="Calibri" w:cs="Arial"/>
              <w:sz w:val="18"/>
              <w:szCs w:val="18"/>
            </w:rPr>
            <w:t>Division des services d'approvisionnement</w:t>
          </w:r>
        </w:p>
        <w:p w14:paraId="7D1D9129" w14:textId="77777777" w:rsidR="009C2C3A" w:rsidRDefault="009C2C3A">
          <w:pPr>
            <w:pStyle w:val="Header"/>
            <w:jc w:val="right"/>
            <w:rPr>
              <w:rFonts w:ascii="Calibri" w:hAnsi="Calibri" w:cs="Arial"/>
              <w:sz w:val="18"/>
              <w:szCs w:val="18"/>
            </w:rPr>
          </w:pPr>
          <w:r>
            <w:rPr>
              <w:rFonts w:ascii="Calibri" w:hAnsi="Calibri" w:cs="Arial"/>
              <w:sz w:val="18"/>
              <w:szCs w:val="18"/>
            </w:rPr>
            <w:t>352, Ave John Brown, Port au Prince , haiti</w:t>
          </w:r>
        </w:p>
        <w:p w14:paraId="7256DE15" w14:textId="77777777" w:rsidR="009C2C3A" w:rsidRPr="00C035CF" w:rsidRDefault="009C2C3A" w:rsidP="004D3AD4">
          <w:pPr>
            <w:pStyle w:val="Header"/>
            <w:jc w:val="right"/>
            <w:rPr>
              <w:rFonts w:cs="Arial"/>
              <w:szCs w:val="22"/>
              <w:lang w:val="en-GB"/>
            </w:rPr>
          </w:pPr>
          <w:r w:rsidRPr="00C035CF">
            <w:rPr>
              <w:rFonts w:ascii="Calibri" w:hAnsi="Calibri" w:cs="Arial"/>
              <w:sz w:val="18"/>
              <w:szCs w:val="18"/>
              <w:lang w:val="en-GB"/>
            </w:rPr>
            <w:t>Site web:</w:t>
          </w:r>
          <w:r>
            <w:rPr>
              <w:rFonts w:ascii="Calibri" w:hAnsi="Calibri" w:cs="Arial"/>
              <w:sz w:val="18"/>
              <w:szCs w:val="18"/>
              <w:lang w:val="en-GB"/>
            </w:rPr>
            <w:t>Haiti.</w:t>
          </w:r>
          <w:r w:rsidRPr="00C035CF">
            <w:rPr>
              <w:rFonts w:ascii="Calibri" w:hAnsi="Calibri" w:cs="Arial"/>
              <w:sz w:val="18"/>
              <w:szCs w:val="18"/>
              <w:lang w:val="en-GB"/>
            </w:rPr>
            <w:t>unfpa.org</w:t>
          </w:r>
        </w:p>
      </w:tc>
    </w:tr>
  </w:tbl>
  <w:p w14:paraId="5EC805F4" w14:textId="77777777" w:rsidR="009C2C3A" w:rsidRPr="00C035CF" w:rsidRDefault="009C2C3A">
    <w:pPr>
      <w:pStyle w:val="Header"/>
      <w:rPr>
        <w:lang w:val="en-GB"/>
      </w:rPr>
    </w:pPr>
  </w:p>
  <w:p w14:paraId="3A99484B" w14:textId="77777777" w:rsidR="009C2C3A" w:rsidRPr="00C035CF" w:rsidRDefault="009C2C3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728"/>
    <w:multiLevelType w:val="hybridMultilevel"/>
    <w:tmpl w:val="E24E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A6DD7"/>
    <w:multiLevelType w:val="hybridMultilevel"/>
    <w:tmpl w:val="BEE83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4253"/>
    <w:multiLevelType w:val="hybridMultilevel"/>
    <w:tmpl w:val="27FA1830"/>
    <w:lvl w:ilvl="0" w:tplc="8C088B02">
      <w:start w:val="3"/>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570A"/>
    <w:multiLevelType w:val="multilevel"/>
    <w:tmpl w:val="E2E4E2F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B430EB"/>
    <w:multiLevelType w:val="hybridMultilevel"/>
    <w:tmpl w:val="60AE78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D66AD4"/>
    <w:multiLevelType w:val="hybridMultilevel"/>
    <w:tmpl w:val="F8AA1272"/>
    <w:lvl w:ilvl="0" w:tplc="763A2A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5218"/>
    <w:multiLevelType w:val="hybridMultilevel"/>
    <w:tmpl w:val="6B16B984"/>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2AE67EA7"/>
    <w:multiLevelType w:val="multilevel"/>
    <w:tmpl w:val="25BE38CE"/>
    <w:lvl w:ilvl="0">
      <w:start w:val="1"/>
      <w:numFmt w:val="decimal"/>
      <w:lvlText w:val="%1."/>
      <w:lvlJc w:val="left"/>
      <w:pPr>
        <w:ind w:left="502" w:hanging="360"/>
      </w:pPr>
      <w:rPr>
        <w:rFonts w:asciiTheme="minorHAnsi" w:hAnsiTheme="minorHAnsi" w:cs="Times New Roman" w:hint="default"/>
        <w:b/>
        <w:color w:val="auto"/>
      </w:rPr>
    </w:lvl>
    <w:lvl w:ilvl="1">
      <w:start w:val="1"/>
      <w:numFmt w:val="decimal"/>
      <w:pStyle w:val="Titre2"/>
      <w:lvlText w:val="%1.%2."/>
      <w:lvlJc w:val="left"/>
      <w:pPr>
        <w:ind w:left="792" w:hanging="432"/>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Calibri" w:hAnsi="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C04A70"/>
    <w:multiLevelType w:val="hybridMultilevel"/>
    <w:tmpl w:val="DB5C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11F41"/>
    <w:multiLevelType w:val="hybridMultilevel"/>
    <w:tmpl w:val="5CD8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C0E86"/>
    <w:multiLevelType w:val="hybridMultilevel"/>
    <w:tmpl w:val="C07C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03F4A"/>
    <w:multiLevelType w:val="multilevel"/>
    <w:tmpl w:val="87E6F3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34822FF7"/>
    <w:multiLevelType w:val="hybridMultilevel"/>
    <w:tmpl w:val="D2DE2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2199A"/>
    <w:multiLevelType w:val="hybridMultilevel"/>
    <w:tmpl w:val="61EAE4E0"/>
    <w:lvl w:ilvl="0" w:tplc="16004D3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3627B"/>
    <w:multiLevelType w:val="hybridMultilevel"/>
    <w:tmpl w:val="2B76D816"/>
    <w:lvl w:ilvl="0" w:tplc="B96CE686">
      <w:start w:val="1"/>
      <w:numFmt w:val="bullet"/>
      <w:lvlText w:val="-"/>
      <w:lvlJc w:val="left"/>
      <w:pPr>
        <w:ind w:left="720" w:hanging="360"/>
      </w:pPr>
      <w:rPr>
        <w:rFonts w:ascii="Calibri" w:eastAsia="MS Mincho"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44FD576C"/>
    <w:multiLevelType w:val="multilevel"/>
    <w:tmpl w:val="1FD6CE9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A82276E"/>
    <w:multiLevelType w:val="multilevel"/>
    <w:tmpl w:val="B0F8B8B2"/>
    <w:lvl w:ilvl="0">
      <w:start w:val="1"/>
      <w:numFmt w:val="decimal"/>
      <w:lvlText w:val="%1."/>
      <w:lvlJc w:val="left"/>
      <w:pPr>
        <w:ind w:left="360" w:hanging="360"/>
      </w:pPr>
      <w:rPr>
        <w:rFonts w:ascii="Calibri" w:hAnsi="Calibri"/>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B716D6B"/>
    <w:multiLevelType w:val="hybridMultilevel"/>
    <w:tmpl w:val="F078E642"/>
    <w:lvl w:ilvl="0" w:tplc="E69A4A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0788F"/>
    <w:multiLevelType w:val="multilevel"/>
    <w:tmpl w:val="A7BAFA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53094A93"/>
    <w:multiLevelType w:val="hybridMultilevel"/>
    <w:tmpl w:val="5FFE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D75EB"/>
    <w:multiLevelType w:val="hybridMultilevel"/>
    <w:tmpl w:val="CB82B47C"/>
    <w:lvl w:ilvl="0" w:tplc="64AA3F8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474B98"/>
    <w:multiLevelType w:val="hybridMultilevel"/>
    <w:tmpl w:val="7272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2325320"/>
    <w:multiLevelType w:val="multilevel"/>
    <w:tmpl w:val="795C3524"/>
    <w:lvl w:ilvl="0">
      <w:start w:val="1"/>
      <w:numFmt w:val="lowerLetter"/>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C8E569F"/>
    <w:multiLevelType w:val="hybridMultilevel"/>
    <w:tmpl w:val="A3BE45A8"/>
    <w:lvl w:ilvl="0" w:tplc="2F8A0EA8">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973E1"/>
    <w:multiLevelType w:val="hybridMultilevel"/>
    <w:tmpl w:val="C98A3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E1791"/>
    <w:multiLevelType w:val="hybridMultilevel"/>
    <w:tmpl w:val="B868D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205E2"/>
    <w:multiLevelType w:val="hybridMultilevel"/>
    <w:tmpl w:val="D116C786"/>
    <w:lvl w:ilvl="0" w:tplc="DED05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8662554">
    <w:abstractNumId w:val="11"/>
  </w:num>
  <w:num w:numId="2" w16cid:durableId="1755273952">
    <w:abstractNumId w:val="22"/>
  </w:num>
  <w:num w:numId="3" w16cid:durableId="807891463">
    <w:abstractNumId w:val="3"/>
  </w:num>
  <w:num w:numId="4" w16cid:durableId="621957472">
    <w:abstractNumId w:val="18"/>
  </w:num>
  <w:num w:numId="5" w16cid:durableId="914321746">
    <w:abstractNumId w:val="8"/>
  </w:num>
  <w:num w:numId="6" w16cid:durableId="2035381524">
    <w:abstractNumId w:val="4"/>
  </w:num>
  <w:num w:numId="7" w16cid:durableId="1063135853">
    <w:abstractNumId w:val="20"/>
  </w:num>
  <w:num w:numId="8" w16cid:durableId="1094016285">
    <w:abstractNumId w:val="5"/>
  </w:num>
  <w:num w:numId="9" w16cid:durableId="223106786">
    <w:abstractNumId w:val="0"/>
  </w:num>
  <w:num w:numId="10" w16cid:durableId="966937156">
    <w:abstractNumId w:val="17"/>
  </w:num>
  <w:num w:numId="11" w16cid:durableId="2075347321">
    <w:abstractNumId w:val="23"/>
  </w:num>
  <w:num w:numId="12" w16cid:durableId="4992027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64688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91312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8726554">
    <w:abstractNumId w:val="13"/>
  </w:num>
  <w:num w:numId="16" w16cid:durableId="259416627">
    <w:abstractNumId w:val="21"/>
  </w:num>
  <w:num w:numId="17" w16cid:durableId="1841120837">
    <w:abstractNumId w:val="19"/>
  </w:num>
  <w:num w:numId="18" w16cid:durableId="1367295212">
    <w:abstractNumId w:val="24"/>
  </w:num>
  <w:num w:numId="19" w16cid:durableId="1207714250">
    <w:abstractNumId w:val="26"/>
  </w:num>
  <w:num w:numId="20" w16cid:durableId="1240408673">
    <w:abstractNumId w:val="1"/>
  </w:num>
  <w:num w:numId="21" w16cid:durableId="902637051">
    <w:abstractNumId w:val="12"/>
  </w:num>
  <w:num w:numId="22" w16cid:durableId="660697955">
    <w:abstractNumId w:val="25"/>
  </w:num>
  <w:num w:numId="23" w16cid:durableId="75578567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1043916">
    <w:abstractNumId w:val="10"/>
  </w:num>
  <w:num w:numId="25" w16cid:durableId="5906292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3987455">
    <w:abstractNumId w:val="9"/>
  </w:num>
  <w:num w:numId="27" w16cid:durableId="1390689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83"/>
    <w:rsid w:val="0000405A"/>
    <w:rsid w:val="00041E81"/>
    <w:rsid w:val="00071BAE"/>
    <w:rsid w:val="00077F3F"/>
    <w:rsid w:val="0008083D"/>
    <w:rsid w:val="0009351C"/>
    <w:rsid w:val="000A1E50"/>
    <w:rsid w:val="000A2F3F"/>
    <w:rsid w:val="000F0D1E"/>
    <w:rsid w:val="000F4C1D"/>
    <w:rsid w:val="00133086"/>
    <w:rsid w:val="001600E5"/>
    <w:rsid w:val="001B0C5B"/>
    <w:rsid w:val="002033A5"/>
    <w:rsid w:val="0021315F"/>
    <w:rsid w:val="00231B3E"/>
    <w:rsid w:val="00245983"/>
    <w:rsid w:val="002A661D"/>
    <w:rsid w:val="002B2E7B"/>
    <w:rsid w:val="00333C55"/>
    <w:rsid w:val="00357C7E"/>
    <w:rsid w:val="0037294E"/>
    <w:rsid w:val="00372C66"/>
    <w:rsid w:val="00386DE4"/>
    <w:rsid w:val="003B4F30"/>
    <w:rsid w:val="003E09C3"/>
    <w:rsid w:val="003E4205"/>
    <w:rsid w:val="003F151A"/>
    <w:rsid w:val="004302B5"/>
    <w:rsid w:val="00436C19"/>
    <w:rsid w:val="00443541"/>
    <w:rsid w:val="00451C54"/>
    <w:rsid w:val="00453F57"/>
    <w:rsid w:val="00461D30"/>
    <w:rsid w:val="00472075"/>
    <w:rsid w:val="004D3AD4"/>
    <w:rsid w:val="004D618F"/>
    <w:rsid w:val="004D661A"/>
    <w:rsid w:val="004E6766"/>
    <w:rsid w:val="00541441"/>
    <w:rsid w:val="00561AC9"/>
    <w:rsid w:val="005A3E79"/>
    <w:rsid w:val="005B5582"/>
    <w:rsid w:val="005D2D2B"/>
    <w:rsid w:val="00656813"/>
    <w:rsid w:val="006A2138"/>
    <w:rsid w:val="006C28D8"/>
    <w:rsid w:val="006E027A"/>
    <w:rsid w:val="00702D0A"/>
    <w:rsid w:val="00705A4A"/>
    <w:rsid w:val="00707AAB"/>
    <w:rsid w:val="007235E0"/>
    <w:rsid w:val="00730FF5"/>
    <w:rsid w:val="00763424"/>
    <w:rsid w:val="007934E2"/>
    <w:rsid w:val="00825C65"/>
    <w:rsid w:val="00830540"/>
    <w:rsid w:val="00863214"/>
    <w:rsid w:val="00872FCA"/>
    <w:rsid w:val="0088509F"/>
    <w:rsid w:val="008E2CEC"/>
    <w:rsid w:val="009102FF"/>
    <w:rsid w:val="00950066"/>
    <w:rsid w:val="00977940"/>
    <w:rsid w:val="00991D35"/>
    <w:rsid w:val="009A0373"/>
    <w:rsid w:val="009B3A22"/>
    <w:rsid w:val="009B7787"/>
    <w:rsid w:val="009C2C3A"/>
    <w:rsid w:val="009C3819"/>
    <w:rsid w:val="009E6BE3"/>
    <w:rsid w:val="00A15083"/>
    <w:rsid w:val="00A25535"/>
    <w:rsid w:val="00A31DB8"/>
    <w:rsid w:val="00A4248F"/>
    <w:rsid w:val="00A87A88"/>
    <w:rsid w:val="00A92CC8"/>
    <w:rsid w:val="00AA06F9"/>
    <w:rsid w:val="00AA0730"/>
    <w:rsid w:val="00AB765C"/>
    <w:rsid w:val="00AF36E1"/>
    <w:rsid w:val="00B14046"/>
    <w:rsid w:val="00B20348"/>
    <w:rsid w:val="00B52F5B"/>
    <w:rsid w:val="00B55C6A"/>
    <w:rsid w:val="00B60892"/>
    <w:rsid w:val="00B62F2F"/>
    <w:rsid w:val="00BD02FC"/>
    <w:rsid w:val="00BD1929"/>
    <w:rsid w:val="00BE0075"/>
    <w:rsid w:val="00BE32C1"/>
    <w:rsid w:val="00C035CF"/>
    <w:rsid w:val="00C3020F"/>
    <w:rsid w:val="00C73F28"/>
    <w:rsid w:val="00CA7647"/>
    <w:rsid w:val="00D42095"/>
    <w:rsid w:val="00D639DA"/>
    <w:rsid w:val="00D73900"/>
    <w:rsid w:val="00D73BEF"/>
    <w:rsid w:val="00D84F0F"/>
    <w:rsid w:val="00D92599"/>
    <w:rsid w:val="00DB5DBB"/>
    <w:rsid w:val="00DC66AC"/>
    <w:rsid w:val="00DC6D85"/>
    <w:rsid w:val="00DE4493"/>
    <w:rsid w:val="00E25609"/>
    <w:rsid w:val="00E3730E"/>
    <w:rsid w:val="00E4594D"/>
    <w:rsid w:val="00E74489"/>
    <w:rsid w:val="00E86EA3"/>
    <w:rsid w:val="00E87D9A"/>
    <w:rsid w:val="00EB6C1B"/>
    <w:rsid w:val="00EC5C1A"/>
    <w:rsid w:val="00EF14C1"/>
    <w:rsid w:val="00F5442F"/>
    <w:rsid w:val="00F56F34"/>
    <w:rsid w:val="00F705F4"/>
    <w:rsid w:val="00F808FC"/>
    <w:rsid w:val="00FA30C0"/>
    <w:rsid w:val="00FA42F7"/>
    <w:rsid w:val="00FB3165"/>
    <w:rsid w:val="00FD66BF"/>
    <w:rsid w:val="00FF23C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C139"/>
  <w15:docId w15:val="{A9A54CB6-E189-492A-B7A3-7CD02F66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pPr>
      <w:spacing w:line="240" w:lineRule="auto"/>
    </w:pPr>
    <w:rPr>
      <w:rFonts w:ascii="Times New Roman" w:eastAsia="Times New Roman" w:hAnsi="Times New Roman" w:cs="Times New Roman"/>
      <w:szCs w:val="20"/>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E6573"/>
    <w:rPr>
      <w:color w:val="003366"/>
      <w:u w:val="single"/>
    </w:rPr>
  </w:style>
  <w:style w:type="character" w:customStyle="1" w:styleId="FootnoteTextChar">
    <w:name w:val="Footnote Text Char"/>
    <w:basedOn w:val="DefaultParagraphFont"/>
    <w:link w:val="FootnoteText"/>
    <w:qFormat/>
    <w:rsid w:val="009E6573"/>
    <w:rPr>
      <w:rFonts w:ascii="Times New Roman" w:eastAsia="Times New Roman" w:hAnsi="Times New Roman" w:cs="Times New Roman"/>
      <w:sz w:val="20"/>
      <w:szCs w:val="20"/>
    </w:rPr>
  </w:style>
  <w:style w:type="character" w:styleId="FootnoteReference">
    <w:name w:val="footnote reference"/>
    <w:qFormat/>
    <w:rsid w:val="009E6573"/>
    <w:rPr>
      <w:vertAlign w:val="superscript"/>
    </w:rPr>
  </w:style>
  <w:style w:type="character" w:customStyle="1" w:styleId="ListParagraphChar">
    <w:name w:val="List Paragraph Char"/>
    <w:aliases w:val="Bullets Char,Evidence on Demand bullet points Char,Heading 2_sj Char,Recommendatio Char,Párrafo de lista Char,Recommendation Char,OBC Bullet Char,Dot pt Char,F5 List Paragraph Char,List Paragraph1 Char,No Spacing1 Char"/>
    <w:link w:val="ListParagraph"/>
    <w:uiPriority w:val="34"/>
    <w:qFormat/>
    <w:locked/>
    <w:rsid w:val="009E6573"/>
    <w:rPr>
      <w:rFonts w:ascii="Times New Roman" w:eastAsia="Times New Roman" w:hAnsi="Times New Roman" w:cs="Times New Roman"/>
      <w:szCs w:val="20"/>
      <w:lang w:eastAsia="en-GB"/>
    </w:rPr>
  </w:style>
  <w:style w:type="character" w:styleId="CommentReference">
    <w:name w:val="annotation reference"/>
    <w:qFormat/>
    <w:rsid w:val="009E6573"/>
    <w:rPr>
      <w:sz w:val="16"/>
      <w:szCs w:val="16"/>
    </w:rPr>
  </w:style>
  <w:style w:type="character" w:customStyle="1" w:styleId="CommentTextChar">
    <w:name w:val="Comment Text Char"/>
    <w:basedOn w:val="DefaultParagraphFont"/>
    <w:link w:val="CommentText"/>
    <w:qFormat/>
    <w:rsid w:val="009E657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9E6573"/>
    <w:rPr>
      <w:color w:val="800080" w:themeColor="followedHyperlink"/>
      <w:u w:val="single"/>
    </w:rPr>
  </w:style>
  <w:style w:type="character" w:customStyle="1" w:styleId="BalloonTextChar">
    <w:name w:val="Balloon Text Char"/>
    <w:basedOn w:val="DefaultParagraphFont"/>
    <w:link w:val="BalloonText"/>
    <w:uiPriority w:val="99"/>
    <w:semiHidden/>
    <w:qFormat/>
    <w:rsid w:val="009E6573"/>
    <w:rPr>
      <w:rFonts w:ascii="Tahoma" w:eastAsia="Times New Roman" w:hAnsi="Tahoma" w:cs="Tahoma"/>
      <w:sz w:val="16"/>
      <w:szCs w:val="16"/>
    </w:rPr>
  </w:style>
  <w:style w:type="character" w:customStyle="1" w:styleId="TitleChar">
    <w:name w:val="Title Char"/>
    <w:basedOn w:val="DefaultParagraphFont"/>
    <w:link w:val="Title"/>
    <w:uiPriority w:val="10"/>
    <w:qFormat/>
    <w:rsid w:val="00B415C5"/>
    <w:rPr>
      <w:rFonts w:ascii="Times New Roman" w:eastAsia="Times New Roman" w:hAnsi="Times New Roman" w:cs="Times New Roman"/>
      <w:b/>
      <w:bCs/>
      <w:sz w:val="24"/>
      <w:szCs w:val="20"/>
      <w:u w:val="single"/>
    </w:rPr>
  </w:style>
  <w:style w:type="character" w:customStyle="1" w:styleId="HeaderChar">
    <w:name w:val="Header Char"/>
    <w:basedOn w:val="DefaultParagraphFont"/>
    <w:link w:val="Header"/>
    <w:uiPriority w:val="99"/>
    <w:qFormat/>
    <w:rsid w:val="00B415C5"/>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B415C5"/>
    <w:rPr>
      <w:rFonts w:ascii="Times New Roman" w:eastAsia="Times New Roman" w:hAnsi="Times New Roman" w:cs="Times New Roman"/>
      <w:sz w:val="20"/>
      <w:szCs w:val="20"/>
    </w:rPr>
  </w:style>
  <w:style w:type="character" w:styleId="PlaceholderText">
    <w:name w:val="Placeholder Text"/>
    <w:basedOn w:val="DefaultParagraphFont"/>
    <w:uiPriority w:val="99"/>
    <w:semiHidden/>
    <w:qFormat/>
    <w:rsid w:val="00B6278F"/>
    <w:rPr>
      <w:color w:val="808080"/>
    </w:rPr>
  </w:style>
  <w:style w:type="character" w:styleId="PageNumber">
    <w:name w:val="page number"/>
    <w:basedOn w:val="DefaultParagraphFont"/>
    <w:qFormat/>
    <w:rsid w:val="00F36678"/>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sid w:val="009E6573"/>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9E6573"/>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FootnoteText">
    <w:name w:val="footnote text"/>
    <w:basedOn w:val="Normal"/>
    <w:link w:val="FootnoteTextChar"/>
    <w:qFormat/>
    <w:rsid w:val="009E6573"/>
  </w:style>
  <w:style w:type="paragraph" w:styleId="ListParagraph">
    <w:name w:val="List Paragraph"/>
    <w:aliases w:val="Bullets,Evidence on Demand bullet points,Heading 2_sj,Recommendatio,Párrafo de lista,Recommendation,OBC Bullet,Dot pt,F5 List Paragraph,List Paragraph1,No Spacing1,List Paragraph Char Char Char,Indicator Text"/>
    <w:basedOn w:val="Normal"/>
    <w:link w:val="ListParagraphChar"/>
    <w:uiPriority w:val="34"/>
    <w:qFormat/>
    <w:rsid w:val="009E6573"/>
    <w:pPr>
      <w:ind w:left="720"/>
      <w:textAlignment w:val="baseline"/>
    </w:pPr>
    <w:rPr>
      <w:sz w:val="22"/>
      <w:lang w:eastAsia="en-GB"/>
    </w:rPr>
  </w:style>
  <w:style w:type="paragraph" w:styleId="CommentText">
    <w:name w:val="annotation text"/>
    <w:basedOn w:val="Normal"/>
    <w:link w:val="CommentTextChar"/>
    <w:qFormat/>
    <w:rsid w:val="009E6573"/>
  </w:style>
  <w:style w:type="paragraph" w:styleId="BalloonText">
    <w:name w:val="Balloon Text"/>
    <w:basedOn w:val="Normal"/>
    <w:link w:val="BalloonTextChar"/>
    <w:uiPriority w:val="99"/>
    <w:semiHidden/>
    <w:unhideWhenUsed/>
    <w:qFormat/>
    <w:rsid w:val="009E6573"/>
    <w:rPr>
      <w:rFonts w:ascii="Tahoma" w:hAnsi="Tahoma" w:cs="Tahoma"/>
      <w:sz w:val="16"/>
      <w:szCs w:val="16"/>
    </w:rPr>
  </w:style>
  <w:style w:type="paragraph" w:styleId="Title">
    <w:name w:val="Title"/>
    <w:basedOn w:val="Normal"/>
    <w:link w:val="TitleChar"/>
    <w:uiPriority w:val="10"/>
    <w:qFormat/>
    <w:rsid w:val="00B415C5"/>
    <w:pPr>
      <w:jc w:val="center"/>
    </w:pPr>
    <w:rPr>
      <w:b/>
      <w:bCs/>
      <w:sz w:val="24"/>
      <w:u w:val="single"/>
    </w:rPr>
  </w:style>
  <w:style w:type="paragraph" w:styleId="Header">
    <w:name w:val="header"/>
    <w:basedOn w:val="Normal"/>
    <w:link w:val="HeaderChar"/>
    <w:unhideWhenUsed/>
    <w:rsid w:val="00B415C5"/>
    <w:pPr>
      <w:tabs>
        <w:tab w:val="center" w:pos="4513"/>
        <w:tab w:val="right" w:pos="9026"/>
      </w:tabs>
    </w:pPr>
  </w:style>
  <w:style w:type="paragraph" w:styleId="Footer">
    <w:name w:val="footer"/>
    <w:basedOn w:val="Normal"/>
    <w:link w:val="FooterChar"/>
    <w:unhideWhenUsed/>
    <w:rsid w:val="00B415C5"/>
    <w:pPr>
      <w:tabs>
        <w:tab w:val="center" w:pos="4513"/>
        <w:tab w:val="right" w:pos="9026"/>
      </w:tabs>
    </w:pPr>
  </w:style>
  <w:style w:type="paragraph" w:styleId="NormalWeb">
    <w:name w:val="Normal (Web)"/>
    <w:basedOn w:val="Normal"/>
    <w:uiPriority w:val="99"/>
    <w:unhideWhenUsed/>
    <w:qFormat/>
    <w:rsid w:val="007A2896"/>
    <w:pPr>
      <w:spacing w:beforeAutospacing="1" w:afterAutospacing="1"/>
    </w:pPr>
    <w:rPr>
      <w:sz w:val="24"/>
      <w:szCs w:val="24"/>
      <w:lang w:eastAsia="en-GB"/>
    </w:rPr>
  </w:style>
  <w:style w:type="paragraph" w:customStyle="1" w:styleId="UNFPAAddress">
    <w:name w:val="UNFPA Address"/>
    <w:basedOn w:val="Footer"/>
    <w:next w:val="Footer"/>
    <w:qFormat/>
    <w:rsid w:val="00F36678"/>
    <w:pPr>
      <w:tabs>
        <w:tab w:val="center" w:pos="4320"/>
        <w:tab w:val="right" w:pos="8640"/>
      </w:tabs>
      <w:spacing w:line="170" w:lineRule="exact"/>
    </w:pPr>
    <w:rPr>
      <w:rFonts w:ascii="UNFPA-Text" w:eastAsia="Times" w:hAnsi="UNFPA-Text"/>
      <w:sz w:val="13"/>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ubtitle">
    <w:name w:val="Subtitle"/>
    <w:basedOn w:val="Heading"/>
    <w:qFormat/>
  </w:style>
  <w:style w:type="table" w:styleId="TableGrid">
    <w:name w:val="Table Grid"/>
    <w:basedOn w:val="TableNormal"/>
    <w:uiPriority w:val="59"/>
    <w:rsid w:val="00B415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0348"/>
    <w:rPr>
      <w:b/>
      <w:bCs/>
    </w:rPr>
  </w:style>
  <w:style w:type="character" w:customStyle="1" w:styleId="CommentSubjectChar">
    <w:name w:val="Comment Subject Char"/>
    <w:basedOn w:val="CommentTextChar"/>
    <w:link w:val="CommentSubject"/>
    <w:uiPriority w:val="99"/>
    <w:semiHidden/>
    <w:rsid w:val="00B20348"/>
    <w:rPr>
      <w:rFonts w:ascii="Times New Roman" w:eastAsia="Times New Roman" w:hAnsi="Times New Roman" w:cs="Times New Roman"/>
      <w:b/>
      <w:bCs/>
      <w:sz w:val="20"/>
      <w:szCs w:val="20"/>
    </w:rPr>
  </w:style>
  <w:style w:type="character" w:styleId="Hyperlink">
    <w:name w:val="Hyperlink"/>
    <w:basedOn w:val="DefaultParagraphFont"/>
    <w:unhideWhenUsed/>
    <w:rsid w:val="00436C19"/>
    <w:rPr>
      <w:color w:val="0000FF"/>
      <w:u w:val="single"/>
    </w:rPr>
  </w:style>
  <w:style w:type="character" w:styleId="Strong">
    <w:name w:val="Strong"/>
    <w:uiPriority w:val="22"/>
    <w:qFormat/>
    <w:rsid w:val="00436C19"/>
    <w:rPr>
      <w:b/>
      <w:bCs/>
    </w:rPr>
  </w:style>
  <w:style w:type="character" w:customStyle="1" w:styleId="familyname">
    <w:name w:val="familyname"/>
    <w:rsid w:val="00436C19"/>
  </w:style>
  <w:style w:type="character" w:styleId="Emphasis">
    <w:name w:val="Emphasis"/>
    <w:uiPriority w:val="20"/>
    <w:qFormat/>
    <w:rsid w:val="00436C19"/>
    <w:rPr>
      <w:i/>
      <w:iCs/>
    </w:rPr>
  </w:style>
  <w:style w:type="character" w:customStyle="1" w:styleId="in-revue">
    <w:name w:val="in-revue"/>
    <w:rsid w:val="00436C19"/>
  </w:style>
  <w:style w:type="paragraph" w:customStyle="1" w:styleId="Figure1">
    <w:name w:val="Figure_1"/>
    <w:autoRedefine/>
    <w:qFormat/>
    <w:rsid w:val="00BE32C1"/>
    <w:pPr>
      <w:overflowPunct w:val="0"/>
      <w:spacing w:before="60" w:after="60" w:line="240" w:lineRule="auto"/>
      <w:jc w:val="center"/>
    </w:pPr>
    <w:rPr>
      <w:rFonts w:ascii="Century Gothic" w:eastAsia="Times New Roman" w:hAnsi="Century Gothic" w:cs="Times New Roman"/>
      <w:b/>
      <w:bCs/>
      <w:i/>
      <w:color w:val="FFFFFF"/>
      <w:sz w:val="22"/>
    </w:rPr>
  </w:style>
  <w:style w:type="paragraph" w:customStyle="1" w:styleId="Titre2">
    <w:name w:val="Titre 2"/>
    <w:basedOn w:val="Normal"/>
    <w:next w:val="Normal"/>
    <w:rsid w:val="00BE32C1"/>
    <w:pPr>
      <w:keepNext/>
      <w:keepLines/>
      <w:numPr>
        <w:ilvl w:val="1"/>
        <w:numId w:val="13"/>
      </w:numPr>
      <w:overflowPunct w:val="0"/>
      <w:spacing w:before="200"/>
      <w:ind w:left="851" w:hanging="491"/>
      <w:outlineLvl w:val="1"/>
    </w:pPr>
    <w:rPr>
      <w:rFonts w:ascii="Calibri" w:eastAsia="MS Gothic" w:hAnsi="Calibri" w:cs="DejaVu Sans"/>
      <w:b/>
      <w:bCs/>
      <w:color w:val="4F81BD"/>
      <w:sz w:val="22"/>
      <w:szCs w:val="22"/>
      <w:lang w:eastAsia="en-GB"/>
    </w:rPr>
  </w:style>
  <w:style w:type="paragraph" w:customStyle="1" w:styleId="CharCharCharCharCharCharChar">
    <w:name w:val="Char Char Char Char Char Char Char"/>
    <w:basedOn w:val="Normal"/>
    <w:rsid w:val="00F5442F"/>
    <w:pPr>
      <w:spacing w:before="120" w:after="160" w:line="240" w:lineRule="exact"/>
    </w:pPr>
    <w:rPr>
      <w:rFonts w:ascii="Verdana" w:hAnsi="Verdana" w:cs="Arial"/>
      <w:lang w:val="en-US"/>
    </w:rPr>
  </w:style>
  <w:style w:type="paragraph" w:styleId="HTMLPreformatted">
    <w:name w:val="HTML Preformatted"/>
    <w:basedOn w:val="Normal"/>
    <w:link w:val="HTMLPreformattedChar"/>
    <w:uiPriority w:val="99"/>
    <w:unhideWhenUsed/>
    <w:rsid w:val="00F54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F5442F"/>
    <w:rPr>
      <w:rFonts w:ascii="Courier New" w:eastAsia="Times New Roman" w:hAnsi="Courier New" w:cs="Courier New"/>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41064">
      <w:bodyDiv w:val="1"/>
      <w:marLeft w:val="0"/>
      <w:marRight w:val="0"/>
      <w:marTop w:val="0"/>
      <w:marBottom w:val="0"/>
      <w:divBdr>
        <w:top w:val="none" w:sz="0" w:space="0" w:color="auto"/>
        <w:left w:val="none" w:sz="0" w:space="0" w:color="auto"/>
        <w:bottom w:val="none" w:sz="0" w:space="0" w:color="auto"/>
        <w:right w:val="none" w:sz="0" w:space="0" w:color="auto"/>
      </w:divBdr>
    </w:div>
    <w:div w:id="1074011423">
      <w:bodyDiv w:val="1"/>
      <w:marLeft w:val="0"/>
      <w:marRight w:val="0"/>
      <w:marTop w:val="0"/>
      <w:marBottom w:val="0"/>
      <w:divBdr>
        <w:top w:val="none" w:sz="0" w:space="0" w:color="auto"/>
        <w:left w:val="none" w:sz="0" w:space="0" w:color="auto"/>
        <w:bottom w:val="none" w:sz="0" w:space="0" w:color="auto"/>
        <w:right w:val="none" w:sz="0" w:space="0" w:color="auto"/>
      </w:divBdr>
    </w:div>
    <w:div w:id="1362778057">
      <w:bodyDiv w:val="1"/>
      <w:marLeft w:val="0"/>
      <w:marRight w:val="0"/>
      <w:marTop w:val="0"/>
      <w:marBottom w:val="0"/>
      <w:divBdr>
        <w:top w:val="none" w:sz="0" w:space="0" w:color="auto"/>
        <w:left w:val="none" w:sz="0" w:space="0" w:color="auto"/>
        <w:bottom w:val="none" w:sz="0" w:space="0" w:color="auto"/>
        <w:right w:val="none" w:sz="0" w:space="0" w:color="auto"/>
      </w:divBdr>
    </w:div>
    <w:div w:id="204867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pa.org/resources/fraud-policy-200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fpa.org/about-procur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unfp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haiti@unfpa.org" TargetMode="External"/><Relationship Id="rId5" Type="http://schemas.openxmlformats.org/officeDocument/2006/relationships/styles" Target="styles.xml"/><Relationship Id="rId15" Type="http://schemas.openxmlformats.org/officeDocument/2006/relationships/hyperlink" Target="http://www.unfpa.org/about-procurement" TargetMode="External"/><Relationship Id="rId10" Type="http://schemas.openxmlformats.org/officeDocument/2006/relationships/hyperlink" Target="http://www.unfpa.org/about-u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eb2.unfpa.org/help/hotlin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2.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Stephania Antoine Gilles</cp:lastModifiedBy>
  <cp:revision>10</cp:revision>
  <cp:lastPrinted>2020-10-21T15:57:00Z</cp:lastPrinted>
  <dcterms:created xsi:type="dcterms:W3CDTF">2023-08-21T15:59:00Z</dcterms:created>
  <dcterms:modified xsi:type="dcterms:W3CDTF">2023-09-06T18:52:00Z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 House</vt:lpwstr>
  </property>
  <property fmtid="{D5CDD505-2E9C-101B-9397-08002B2CF9AE}" pid="4" name="ContentTypeId">
    <vt:lpwstr>0x010100FA09625740F6014DA90CA5C6AF4E9A5C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