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8AB8" w14:textId="72F93449" w:rsidR="00245983" w:rsidRPr="002033A5" w:rsidRDefault="00872FCA">
      <w:pPr>
        <w:tabs>
          <w:tab w:val="left" w:pos="5400"/>
        </w:tabs>
        <w:jc w:val="right"/>
        <w:rPr>
          <w:sz w:val="24"/>
          <w:szCs w:val="24"/>
        </w:rPr>
      </w:pPr>
      <w:r w:rsidRPr="002033A5">
        <w:rPr>
          <w:sz w:val="24"/>
          <w:szCs w:val="24"/>
        </w:rPr>
        <w:t xml:space="preserve">Date : </w:t>
      </w:r>
      <w:r w:rsidR="001B0C5B" w:rsidRPr="002033A5">
        <w:rPr>
          <w:sz w:val="24"/>
          <w:szCs w:val="24"/>
        </w:rPr>
        <w:t>1</w:t>
      </w:r>
      <w:r w:rsidR="002033A5">
        <w:rPr>
          <w:sz w:val="24"/>
          <w:szCs w:val="24"/>
        </w:rPr>
        <w:t>8</w:t>
      </w:r>
      <w:r w:rsidR="001600E5" w:rsidRPr="002033A5">
        <w:rPr>
          <w:i/>
          <w:sz w:val="24"/>
          <w:szCs w:val="24"/>
        </w:rPr>
        <w:t>-</w:t>
      </w:r>
      <w:r w:rsidR="001B0C5B" w:rsidRPr="002033A5">
        <w:rPr>
          <w:i/>
          <w:sz w:val="24"/>
          <w:szCs w:val="24"/>
        </w:rPr>
        <w:t>08</w:t>
      </w:r>
      <w:r w:rsidR="004D661A" w:rsidRPr="002033A5">
        <w:rPr>
          <w:i/>
          <w:sz w:val="24"/>
          <w:szCs w:val="24"/>
        </w:rPr>
        <w:t>-</w:t>
      </w:r>
      <w:r w:rsidR="001600E5" w:rsidRPr="002033A5">
        <w:rPr>
          <w:i/>
          <w:sz w:val="24"/>
          <w:szCs w:val="24"/>
        </w:rPr>
        <w:t>20</w:t>
      </w:r>
      <w:r w:rsidR="00071BAE" w:rsidRPr="002033A5">
        <w:rPr>
          <w:i/>
          <w:sz w:val="24"/>
          <w:szCs w:val="24"/>
        </w:rPr>
        <w:t>2</w:t>
      </w:r>
      <w:r w:rsidR="001B0C5B" w:rsidRPr="002033A5">
        <w:rPr>
          <w:i/>
          <w:sz w:val="24"/>
          <w:szCs w:val="24"/>
        </w:rPr>
        <w:t>3</w:t>
      </w:r>
    </w:p>
    <w:p w14:paraId="053E6C5F" w14:textId="77777777" w:rsidR="00245983" w:rsidRPr="002033A5" w:rsidRDefault="00245983">
      <w:pPr>
        <w:tabs>
          <w:tab w:val="left" w:pos="0"/>
          <w:tab w:val="right" w:pos="1980"/>
          <w:tab w:val="left" w:pos="2160"/>
          <w:tab w:val="left" w:pos="4320"/>
        </w:tabs>
        <w:rPr>
          <w:sz w:val="24"/>
          <w:szCs w:val="24"/>
        </w:rPr>
      </w:pPr>
    </w:p>
    <w:p w14:paraId="46D01C7A" w14:textId="77777777" w:rsidR="00245983" w:rsidRPr="002033A5" w:rsidRDefault="00245983">
      <w:pPr>
        <w:tabs>
          <w:tab w:val="left" w:pos="0"/>
          <w:tab w:val="right" w:pos="1980"/>
          <w:tab w:val="left" w:pos="2160"/>
          <w:tab w:val="left" w:pos="4320"/>
        </w:tabs>
        <w:rPr>
          <w:b/>
          <w:sz w:val="24"/>
          <w:szCs w:val="24"/>
        </w:rPr>
      </w:pPr>
    </w:p>
    <w:p w14:paraId="38E1555A" w14:textId="77777777" w:rsidR="00245983" w:rsidRPr="002033A5" w:rsidRDefault="00872FCA">
      <w:pPr>
        <w:pStyle w:val="Caption"/>
        <w:rPr>
          <w:sz w:val="24"/>
          <w:szCs w:val="24"/>
        </w:rPr>
      </w:pPr>
      <w:r w:rsidRPr="002033A5">
        <w:rPr>
          <w:sz w:val="24"/>
          <w:szCs w:val="24"/>
        </w:rPr>
        <w:t xml:space="preserve">DEMANDE DE </w:t>
      </w:r>
      <w:r w:rsidR="00DC6D85" w:rsidRPr="002033A5">
        <w:rPr>
          <w:sz w:val="24"/>
          <w:szCs w:val="24"/>
        </w:rPr>
        <w:t xml:space="preserve">COTATION </w:t>
      </w:r>
    </w:p>
    <w:p w14:paraId="37944027" w14:textId="317144EE" w:rsidR="00245983" w:rsidRPr="002033A5" w:rsidRDefault="00872FCA">
      <w:pPr>
        <w:pStyle w:val="Caption"/>
        <w:rPr>
          <w:sz w:val="24"/>
          <w:szCs w:val="24"/>
        </w:rPr>
      </w:pPr>
      <w:r w:rsidRPr="002033A5">
        <w:rPr>
          <w:sz w:val="24"/>
          <w:szCs w:val="24"/>
        </w:rPr>
        <w:t>RFQ Nº UNFPA/</w:t>
      </w:r>
      <w:r w:rsidR="004D3AD4" w:rsidRPr="002033A5">
        <w:rPr>
          <w:sz w:val="24"/>
          <w:szCs w:val="24"/>
        </w:rPr>
        <w:t>HTI</w:t>
      </w:r>
      <w:r w:rsidRPr="002033A5">
        <w:rPr>
          <w:sz w:val="24"/>
          <w:szCs w:val="24"/>
        </w:rPr>
        <w:t>/RFQ/</w:t>
      </w:r>
      <w:r w:rsidR="00C73F28" w:rsidRPr="002033A5">
        <w:rPr>
          <w:sz w:val="24"/>
          <w:szCs w:val="24"/>
        </w:rPr>
        <w:t>23</w:t>
      </w:r>
      <w:r w:rsidR="00FF23CE">
        <w:rPr>
          <w:sz w:val="24"/>
          <w:szCs w:val="24"/>
        </w:rPr>
        <w:t>/031</w:t>
      </w:r>
    </w:p>
    <w:p w14:paraId="4D6DE592" w14:textId="77777777" w:rsidR="00245983" w:rsidRPr="002033A5" w:rsidRDefault="00245983">
      <w:pPr>
        <w:jc w:val="center"/>
        <w:rPr>
          <w:sz w:val="24"/>
          <w:szCs w:val="24"/>
        </w:rPr>
      </w:pPr>
    </w:p>
    <w:p w14:paraId="0C0CDDDF" w14:textId="77777777" w:rsidR="00245983" w:rsidRPr="002033A5" w:rsidRDefault="00872FCA">
      <w:pPr>
        <w:pStyle w:val="letter"/>
        <w:rPr>
          <w:szCs w:val="24"/>
        </w:rPr>
      </w:pPr>
      <w:r w:rsidRPr="002033A5">
        <w:rPr>
          <w:szCs w:val="24"/>
        </w:rPr>
        <w:t>Madame, Monsieur,</w:t>
      </w:r>
    </w:p>
    <w:p w14:paraId="64A86098" w14:textId="77777777" w:rsidR="00245983" w:rsidRPr="002033A5" w:rsidRDefault="00245983">
      <w:pPr>
        <w:pStyle w:val="letter"/>
        <w:rPr>
          <w:szCs w:val="24"/>
        </w:rPr>
      </w:pPr>
    </w:p>
    <w:p w14:paraId="71668EFC" w14:textId="7A4E165A" w:rsidR="002033A5" w:rsidRPr="002033A5" w:rsidRDefault="002033A5" w:rsidP="002033A5">
      <w:pPr>
        <w:spacing w:before="100" w:beforeAutospacing="1" w:after="100" w:afterAutospacing="1"/>
        <w:jc w:val="both"/>
        <w:rPr>
          <w:sz w:val="24"/>
          <w:szCs w:val="24"/>
        </w:rPr>
      </w:pPr>
      <w:r w:rsidRPr="002033A5">
        <w:rPr>
          <w:sz w:val="24"/>
          <w:szCs w:val="24"/>
        </w:rPr>
        <w:t>Le Fonds des Nations Unies pour la Population (UNFPA) en appui à la Direction de Santé de la Famille (DSF) du Ministère de la Santé Publique et de la Population (</w:t>
      </w:r>
      <w:r w:rsidRPr="002033A5">
        <w:rPr>
          <w:sz w:val="24"/>
          <w:szCs w:val="24"/>
        </w:rPr>
        <w:t>MSPP) recherche</w:t>
      </w:r>
      <w:r w:rsidRPr="002033A5">
        <w:rPr>
          <w:sz w:val="24"/>
          <w:szCs w:val="24"/>
        </w:rPr>
        <w:t xml:space="preserve"> une firme de consultation nationale ou internationale pour réaliser une enquête nationale </w:t>
      </w:r>
      <w:r w:rsidRPr="002033A5">
        <w:rPr>
          <w:sz w:val="24"/>
          <w:szCs w:val="24"/>
        </w:rPr>
        <w:t>sur</w:t>
      </w:r>
      <w:r w:rsidRPr="002033A5">
        <w:rPr>
          <w:b/>
          <w:sz w:val="24"/>
          <w:szCs w:val="24"/>
        </w:rPr>
        <w:t xml:space="preserve"> «</w:t>
      </w:r>
      <w:r w:rsidRPr="002033A5">
        <w:rPr>
          <w:b/>
          <w:sz w:val="24"/>
          <w:szCs w:val="24"/>
        </w:rPr>
        <w:t> la disponibilité des intrants clés de santé de la reproduction et la satisfaction des clients aux services de planification familiale dans 147 institutions sanitaires réparties dans les 10 départements du pays »</w:t>
      </w:r>
      <w:r w:rsidRPr="002033A5">
        <w:rPr>
          <w:caps/>
          <w:sz w:val="24"/>
          <w:szCs w:val="24"/>
        </w:rPr>
        <w:t>.</w:t>
      </w:r>
    </w:p>
    <w:p w14:paraId="386A0914" w14:textId="77777777" w:rsidR="00436C19" w:rsidRPr="002033A5" w:rsidRDefault="00436C19" w:rsidP="00436C19">
      <w:pPr>
        <w:rPr>
          <w:b/>
          <w:sz w:val="24"/>
          <w:szCs w:val="24"/>
        </w:rPr>
      </w:pPr>
    </w:p>
    <w:p w14:paraId="56EB1663" w14:textId="77777777" w:rsidR="00436C19" w:rsidRPr="002033A5" w:rsidRDefault="00436C19" w:rsidP="00436C19">
      <w:pPr>
        <w:rPr>
          <w:b/>
          <w:sz w:val="24"/>
          <w:szCs w:val="24"/>
        </w:rPr>
      </w:pPr>
      <w:r w:rsidRPr="002033A5">
        <w:rPr>
          <w:b/>
          <w:sz w:val="24"/>
          <w:szCs w:val="24"/>
        </w:rPr>
        <w:t>Contexte</w:t>
      </w:r>
    </w:p>
    <w:p w14:paraId="13C6B0CE" w14:textId="77777777" w:rsidR="00071BAE" w:rsidRPr="002033A5" w:rsidRDefault="00071BAE" w:rsidP="00436C19">
      <w:pPr>
        <w:rPr>
          <w:b/>
          <w:sz w:val="24"/>
          <w:szCs w:val="24"/>
        </w:rPr>
      </w:pPr>
    </w:p>
    <w:p w14:paraId="48798456" w14:textId="77777777" w:rsidR="00071BAE" w:rsidRPr="002033A5" w:rsidRDefault="00071BAE" w:rsidP="00071BAE">
      <w:pPr>
        <w:rPr>
          <w:b/>
          <w:sz w:val="24"/>
          <w:szCs w:val="24"/>
        </w:rPr>
      </w:pPr>
      <w:r w:rsidRPr="002033A5">
        <w:rPr>
          <w:b/>
          <w:sz w:val="24"/>
          <w:szCs w:val="24"/>
        </w:rPr>
        <w:t>I-. CONTEXTE</w:t>
      </w:r>
    </w:p>
    <w:p w14:paraId="78D6A53D" w14:textId="77777777" w:rsidR="00071BAE" w:rsidRPr="002033A5" w:rsidRDefault="00071BAE" w:rsidP="00071BAE">
      <w:pPr>
        <w:rPr>
          <w:sz w:val="24"/>
          <w:szCs w:val="24"/>
        </w:rPr>
      </w:pPr>
    </w:p>
    <w:p w14:paraId="5D8E18BC" w14:textId="77777777" w:rsidR="00071BAE" w:rsidRPr="002033A5" w:rsidRDefault="00071BAE" w:rsidP="00071BAE">
      <w:pPr>
        <w:rPr>
          <w:sz w:val="24"/>
          <w:szCs w:val="24"/>
        </w:rPr>
      </w:pPr>
    </w:p>
    <w:p w14:paraId="453777F7" w14:textId="77777777" w:rsidR="002033A5" w:rsidRPr="002033A5" w:rsidRDefault="002033A5" w:rsidP="002033A5">
      <w:pPr>
        <w:jc w:val="both"/>
        <w:rPr>
          <w:sz w:val="24"/>
          <w:szCs w:val="24"/>
        </w:rPr>
      </w:pPr>
      <w:r w:rsidRPr="002033A5">
        <w:rPr>
          <w:sz w:val="24"/>
          <w:szCs w:val="24"/>
        </w:rPr>
        <w:t xml:space="preserve">La santé de la reproduction (SR) constitue la porte d´entrée du système de santé haïtien ; pendant plus d’une décennie, l’emphase a donc été mise sur l’amélioration de la santé maternelle pour réduire la mortalité materno-infantile. </w:t>
      </w:r>
    </w:p>
    <w:p w14:paraId="7C02242E" w14:textId="77777777" w:rsidR="002033A5" w:rsidRPr="002033A5" w:rsidRDefault="002033A5" w:rsidP="002033A5">
      <w:pPr>
        <w:jc w:val="both"/>
        <w:rPr>
          <w:caps/>
          <w:sz w:val="24"/>
          <w:szCs w:val="24"/>
        </w:rPr>
      </w:pPr>
    </w:p>
    <w:p w14:paraId="7932F6AA" w14:textId="77777777" w:rsidR="002033A5" w:rsidRPr="002033A5" w:rsidRDefault="002033A5" w:rsidP="002033A5">
      <w:pPr>
        <w:rPr>
          <w:caps/>
          <w:sz w:val="24"/>
          <w:szCs w:val="24"/>
        </w:rPr>
      </w:pPr>
      <w:r w:rsidRPr="002033A5">
        <w:rPr>
          <w:sz w:val="24"/>
          <w:szCs w:val="24"/>
        </w:rPr>
        <w:t>De plus, selon les derniers chiffres de l’EMMUS VI :</w:t>
      </w:r>
    </w:p>
    <w:p w14:paraId="332DBEA3" w14:textId="77777777" w:rsidR="002033A5" w:rsidRPr="002033A5" w:rsidRDefault="002033A5" w:rsidP="002033A5">
      <w:pPr>
        <w:numPr>
          <w:ilvl w:val="0"/>
          <w:numId w:val="23"/>
        </w:numPr>
        <w:rPr>
          <w:caps/>
          <w:sz w:val="24"/>
          <w:szCs w:val="24"/>
          <w:lang w:eastAsia="fr-FR"/>
        </w:rPr>
      </w:pPr>
      <w:r w:rsidRPr="002033A5">
        <w:rPr>
          <w:sz w:val="24"/>
          <w:szCs w:val="24"/>
          <w:lang w:eastAsia="fr-FR"/>
        </w:rPr>
        <w:t xml:space="preserve">La prévalence contraceptive des femmes en union en méthodes modernes est de </w:t>
      </w:r>
      <w:r w:rsidRPr="002033A5">
        <w:rPr>
          <w:sz w:val="24"/>
          <w:szCs w:val="24"/>
          <w:shd w:val="clear" w:color="auto" w:fill="FFFFFF"/>
          <w:lang w:eastAsia="fr-FR"/>
        </w:rPr>
        <w:t>32%</w:t>
      </w:r>
      <w:r w:rsidRPr="002033A5">
        <w:rPr>
          <w:sz w:val="24"/>
          <w:szCs w:val="24"/>
          <w:lang w:eastAsia="fr-FR"/>
        </w:rPr>
        <w:t> ;</w:t>
      </w:r>
    </w:p>
    <w:p w14:paraId="7CF735D3" w14:textId="77777777" w:rsidR="002033A5" w:rsidRPr="002033A5" w:rsidRDefault="002033A5" w:rsidP="002033A5">
      <w:pPr>
        <w:numPr>
          <w:ilvl w:val="0"/>
          <w:numId w:val="23"/>
        </w:numPr>
        <w:rPr>
          <w:caps/>
          <w:sz w:val="24"/>
          <w:szCs w:val="24"/>
          <w:lang w:eastAsia="fr-FR"/>
        </w:rPr>
      </w:pPr>
      <w:r w:rsidRPr="002033A5">
        <w:rPr>
          <w:sz w:val="24"/>
          <w:szCs w:val="24"/>
          <w:lang w:eastAsia="fr-FR"/>
        </w:rPr>
        <w:t>Les besoins non satisfaits en pf concernent</w:t>
      </w:r>
      <w:r w:rsidRPr="002033A5">
        <w:rPr>
          <w:sz w:val="24"/>
          <w:szCs w:val="24"/>
          <w:shd w:val="clear" w:color="auto" w:fill="FFFFFF"/>
          <w:lang w:eastAsia="fr-FR"/>
        </w:rPr>
        <w:t xml:space="preserve"> 38%</w:t>
      </w:r>
      <w:r w:rsidRPr="002033A5">
        <w:rPr>
          <w:sz w:val="24"/>
          <w:szCs w:val="24"/>
          <w:lang w:eastAsia="fr-FR"/>
        </w:rPr>
        <w:t xml:space="preserve"> des femmes en union ; </w:t>
      </w:r>
    </w:p>
    <w:p w14:paraId="32D8CBDA" w14:textId="77777777" w:rsidR="002033A5" w:rsidRPr="002033A5" w:rsidRDefault="002033A5" w:rsidP="002033A5">
      <w:pPr>
        <w:numPr>
          <w:ilvl w:val="0"/>
          <w:numId w:val="23"/>
        </w:numPr>
        <w:rPr>
          <w:caps/>
          <w:sz w:val="24"/>
          <w:szCs w:val="24"/>
          <w:lang w:eastAsia="fr-FR"/>
        </w:rPr>
      </w:pPr>
      <w:r w:rsidRPr="002033A5">
        <w:rPr>
          <w:sz w:val="24"/>
          <w:szCs w:val="24"/>
          <w:lang w:eastAsia="fr-FR"/>
        </w:rPr>
        <w:t>Seulement 38% des naissances ont eu lieu dans un établissement sanitaire</w:t>
      </w:r>
    </w:p>
    <w:p w14:paraId="421128C3" w14:textId="77777777" w:rsidR="002033A5" w:rsidRPr="002033A5" w:rsidRDefault="002033A5" w:rsidP="002033A5">
      <w:pPr>
        <w:jc w:val="both"/>
        <w:rPr>
          <w:rFonts w:eastAsia="MS Mincho"/>
          <w:caps/>
          <w:sz w:val="24"/>
          <w:szCs w:val="24"/>
        </w:rPr>
      </w:pPr>
    </w:p>
    <w:p w14:paraId="27558E05" w14:textId="3750E9A5" w:rsidR="002033A5" w:rsidRPr="002033A5" w:rsidRDefault="002033A5" w:rsidP="002033A5">
      <w:pPr>
        <w:jc w:val="both"/>
        <w:rPr>
          <w:sz w:val="24"/>
          <w:szCs w:val="24"/>
        </w:rPr>
      </w:pPr>
      <w:r w:rsidRPr="002033A5">
        <w:rPr>
          <w:sz w:val="24"/>
          <w:szCs w:val="24"/>
        </w:rPr>
        <w:t xml:space="preserve">La dernière enquête EMMUS VI (2016-2017) nous permet de constater une situation paradoxale dans la relation entre la fécondité et la planification familiale (PF). En effet, tandis que l'indice synthétique de </w:t>
      </w:r>
      <w:r w:rsidRPr="002033A5">
        <w:rPr>
          <w:sz w:val="24"/>
          <w:szCs w:val="24"/>
        </w:rPr>
        <w:t>fécondité (</w:t>
      </w:r>
      <w:r w:rsidRPr="002033A5">
        <w:rPr>
          <w:sz w:val="24"/>
          <w:szCs w:val="24"/>
        </w:rPr>
        <w:t>ISF) est réduit de 3,5 à 3 (sur la période 2012-2017), la prévalence de la contraception n'a pas été modifiée (31% en 2012 et 32% en 2017) et les besoins non satisfaits en PF ont augmenté de 35% en 2012 à 38% en 2017.</w:t>
      </w:r>
    </w:p>
    <w:p w14:paraId="18360CBE" w14:textId="77777777" w:rsidR="002033A5" w:rsidRPr="002033A5" w:rsidRDefault="002033A5" w:rsidP="002033A5">
      <w:pPr>
        <w:jc w:val="both"/>
        <w:rPr>
          <w:sz w:val="24"/>
          <w:szCs w:val="24"/>
        </w:rPr>
      </w:pPr>
    </w:p>
    <w:p w14:paraId="6C938DF7" w14:textId="77777777" w:rsidR="002033A5" w:rsidRPr="002033A5" w:rsidRDefault="002033A5" w:rsidP="002033A5">
      <w:pPr>
        <w:jc w:val="both"/>
        <w:rPr>
          <w:sz w:val="24"/>
          <w:szCs w:val="24"/>
        </w:rPr>
      </w:pPr>
      <w:r w:rsidRPr="002033A5">
        <w:rPr>
          <w:sz w:val="24"/>
          <w:szCs w:val="24"/>
        </w:rPr>
        <w:t xml:space="preserve">Malgré le degré de connaissance très élevé de la contraception moderne en Haïti (100%), la pratique demeure relativement faible. Ainsi, le pourcentage de disponibilité d'au moins 3 méthodes modernes au niveau des Points de Prestation de Services (PPS) est de 84% et le pourcentage de PPS sans rupture de stock les derniers 3 mois avant l'enquête est de 30%, selon le Plan Stratégique 2019-2023. </w:t>
      </w:r>
    </w:p>
    <w:p w14:paraId="73BA3EBA" w14:textId="77777777" w:rsidR="002033A5" w:rsidRPr="002033A5" w:rsidRDefault="002033A5" w:rsidP="002033A5">
      <w:pPr>
        <w:jc w:val="both"/>
        <w:rPr>
          <w:sz w:val="24"/>
          <w:szCs w:val="24"/>
        </w:rPr>
      </w:pPr>
    </w:p>
    <w:p w14:paraId="4B056B78" w14:textId="7AC36FB7" w:rsidR="002033A5" w:rsidRPr="002033A5" w:rsidRDefault="002033A5" w:rsidP="002033A5">
      <w:pPr>
        <w:jc w:val="both"/>
        <w:rPr>
          <w:sz w:val="24"/>
          <w:szCs w:val="24"/>
        </w:rPr>
      </w:pPr>
      <w:r>
        <w:rPr>
          <w:sz w:val="24"/>
          <w:szCs w:val="24"/>
        </w:rPr>
        <w:t>L</w:t>
      </w:r>
      <w:r w:rsidRPr="002033A5">
        <w:rPr>
          <w:sz w:val="24"/>
          <w:szCs w:val="24"/>
        </w:rPr>
        <w:t>e Plan Stratégique 2019-2023 résume la situation de la planification familiale dans le pays par quatre problématiques, à savoir : 1) la prévalence très basse de femmes en âge de procréer qui sont utilisatrices de méthodes contraceptives ; 2) la forte prévalence des méthodes à court terme parmi les utilisatrices ; 3) le manque de stratégie dans l'offre pour les méthodes de longue durée dans le postpartum et le post-abortum profitant dans la foulée du contact entre la femme et le service de soins ; 4) et, l'accès limité à la planification familiale pour les adolescentes, adolescents et les jeunes.</w:t>
      </w:r>
    </w:p>
    <w:p w14:paraId="29F8A4D9" w14:textId="77777777" w:rsidR="002033A5" w:rsidRPr="002033A5" w:rsidRDefault="002033A5" w:rsidP="002033A5">
      <w:pPr>
        <w:jc w:val="both"/>
        <w:rPr>
          <w:sz w:val="24"/>
          <w:szCs w:val="24"/>
        </w:rPr>
      </w:pPr>
    </w:p>
    <w:p w14:paraId="42D8F2E5" w14:textId="77777777" w:rsidR="002033A5" w:rsidRPr="002033A5" w:rsidRDefault="002033A5" w:rsidP="002033A5">
      <w:pPr>
        <w:jc w:val="both"/>
        <w:rPr>
          <w:sz w:val="24"/>
          <w:szCs w:val="24"/>
        </w:rPr>
      </w:pPr>
      <w:r w:rsidRPr="002033A5">
        <w:rPr>
          <w:sz w:val="24"/>
          <w:szCs w:val="24"/>
        </w:rPr>
        <w:lastRenderedPageBreak/>
        <w:t>Le PS 2019-2023 a aussi souligné les engagements clairs pris par le MSPP, au nom du Gouvernement Haïtien, en faveur de : a) l'intégration d'une ligne budgétaire pour la planification familiale dans le budget du ministère, b) la création d'un Comité Interministériel œuvrant en santé de la reproduction, c) l'établissement d'un cadre légal pour le droit à la santé de la reproduction pour les jeunes et les adolescents, d) le renforcement de la contraception du postpartum et postabortum, et e) la réduction de 10% du taux de besoins non satisfaits en matière de contraception et l'augmentation de 10% du taux de prévalence contraceptive.</w:t>
      </w:r>
    </w:p>
    <w:p w14:paraId="17EB21C5" w14:textId="77777777" w:rsidR="002033A5" w:rsidRPr="002033A5" w:rsidRDefault="002033A5" w:rsidP="002033A5">
      <w:pPr>
        <w:jc w:val="both"/>
        <w:rPr>
          <w:sz w:val="24"/>
          <w:szCs w:val="24"/>
        </w:rPr>
      </w:pPr>
    </w:p>
    <w:p w14:paraId="327B4F98" w14:textId="3C21EFC9" w:rsidR="002033A5" w:rsidRPr="002033A5" w:rsidRDefault="002033A5" w:rsidP="002033A5">
      <w:pPr>
        <w:jc w:val="both"/>
        <w:rPr>
          <w:rFonts w:eastAsia="MS Mincho"/>
          <w:caps/>
          <w:sz w:val="24"/>
          <w:szCs w:val="24"/>
        </w:rPr>
      </w:pPr>
      <w:r w:rsidRPr="002033A5">
        <w:rPr>
          <w:sz w:val="24"/>
          <w:szCs w:val="24"/>
        </w:rPr>
        <w:t xml:space="preserve">Comme stratégie pour la période couverte, le PS prévoit d’augmenter l'accès aux méthodes PF de longue durée, notamment en postpartum immédiat et en postabortum, utilisant le modèle des services Planification familiale en postpartum (PFPP). Deux activités sont </w:t>
      </w:r>
      <w:r w:rsidRPr="002033A5">
        <w:rPr>
          <w:sz w:val="24"/>
          <w:szCs w:val="24"/>
        </w:rPr>
        <w:t>identifiées :</w:t>
      </w:r>
      <w:r w:rsidRPr="002033A5">
        <w:rPr>
          <w:sz w:val="24"/>
          <w:szCs w:val="24"/>
        </w:rPr>
        <w:t xml:space="preserve"> · Renforcer la formation et les attitudes des prestataires des services SONU et la disponibilité des intrants eu égard à la contraception post-partum et post-abortum. · Mettre à l'échelle la stratégie des services mobiles de proximité en PF pour l'offre de services au profit des femmes marginalisées et vivant dans des zones reculées.</w:t>
      </w:r>
    </w:p>
    <w:p w14:paraId="3FA94991" w14:textId="77777777" w:rsidR="002033A5" w:rsidRPr="002033A5" w:rsidRDefault="002033A5" w:rsidP="002033A5">
      <w:pPr>
        <w:jc w:val="both"/>
        <w:rPr>
          <w:rFonts w:eastAsia="MS Mincho"/>
          <w:caps/>
          <w:sz w:val="24"/>
          <w:szCs w:val="24"/>
        </w:rPr>
      </w:pPr>
    </w:p>
    <w:p w14:paraId="5C78273A" w14:textId="77777777" w:rsidR="002033A5" w:rsidRPr="002033A5" w:rsidRDefault="002033A5" w:rsidP="002033A5">
      <w:pPr>
        <w:shd w:val="clear" w:color="auto" w:fill="FFFFFF"/>
        <w:jc w:val="both"/>
        <w:rPr>
          <w:caps/>
          <w:sz w:val="24"/>
          <w:szCs w:val="24"/>
        </w:rPr>
      </w:pPr>
      <w:r w:rsidRPr="002033A5">
        <w:rPr>
          <w:sz w:val="24"/>
          <w:szCs w:val="24"/>
        </w:rPr>
        <w:t>Dans cette perspective, les b</w:t>
      </w:r>
      <w:r w:rsidRPr="002033A5">
        <w:rPr>
          <w:rFonts w:eastAsia="SimSun-ExtB"/>
          <w:sz w:val="24"/>
          <w:szCs w:val="24"/>
          <w:lang w:eastAsia="fr-FR"/>
        </w:rPr>
        <w:t>esoins en informations pour la prise des décisions opportunes à tous les niveaux de la pyramide sanitaire dans le cadre de la planification, de l</w:t>
      </w:r>
      <w:r w:rsidRPr="002033A5">
        <w:rPr>
          <w:rFonts w:eastAsia="SimSun-ExtB"/>
          <w:caps/>
          <w:sz w:val="24"/>
          <w:szCs w:val="24"/>
          <w:lang w:eastAsia="fr-FR"/>
        </w:rPr>
        <w:t>’</w:t>
      </w:r>
      <w:r w:rsidRPr="002033A5">
        <w:rPr>
          <w:rFonts w:eastAsia="SimSun-ExtB"/>
          <w:sz w:val="24"/>
          <w:szCs w:val="24"/>
          <w:lang w:eastAsia="fr-FR"/>
        </w:rPr>
        <w:t>exécution, du suivi et de l’évaluation des activités en services de santé reproductive et sexuelle</w:t>
      </w:r>
      <w:r w:rsidRPr="002033A5">
        <w:rPr>
          <w:sz w:val="24"/>
          <w:szCs w:val="24"/>
        </w:rPr>
        <w:t xml:space="preserve"> se précisent de plus en plus afin de mieux apprécier les progrès enregistrés. </w:t>
      </w:r>
    </w:p>
    <w:p w14:paraId="0885B6F6" w14:textId="77777777" w:rsidR="002033A5" w:rsidRPr="002033A5" w:rsidRDefault="002033A5" w:rsidP="002033A5">
      <w:pPr>
        <w:jc w:val="both"/>
        <w:rPr>
          <w:caps/>
          <w:sz w:val="24"/>
          <w:szCs w:val="24"/>
        </w:rPr>
      </w:pPr>
    </w:p>
    <w:p w14:paraId="0CC8BB82" w14:textId="77777777" w:rsidR="002033A5" w:rsidRPr="002033A5" w:rsidRDefault="002033A5" w:rsidP="002033A5">
      <w:pPr>
        <w:jc w:val="both"/>
        <w:rPr>
          <w:sz w:val="24"/>
          <w:szCs w:val="24"/>
        </w:rPr>
      </w:pPr>
      <w:r w:rsidRPr="002033A5">
        <w:rPr>
          <w:rFonts w:eastAsia="SimSun-ExtB"/>
          <w:sz w:val="24"/>
          <w:szCs w:val="24"/>
          <w:lang w:eastAsia="fr-FR"/>
        </w:rPr>
        <w:t>Ces besoins en informations des différents acteurs intervenant dans le système de santé haïtien (décideurs, professionnels de la santé</w:t>
      </w:r>
      <w:r w:rsidRPr="002033A5">
        <w:rPr>
          <w:rFonts w:eastAsia="SimSun-ExtB"/>
          <w:caps/>
          <w:sz w:val="24"/>
          <w:szCs w:val="24"/>
          <w:lang w:eastAsia="fr-FR"/>
        </w:rPr>
        <w:t xml:space="preserve">, </w:t>
      </w:r>
      <w:r w:rsidRPr="002033A5">
        <w:rPr>
          <w:rFonts w:eastAsia="SimSun-ExtB"/>
          <w:sz w:val="24"/>
          <w:szCs w:val="24"/>
          <w:lang w:eastAsia="fr-FR"/>
        </w:rPr>
        <w:t>étudiants, partenaires techniques et financiers) pourront être comblés avec c</w:t>
      </w:r>
      <w:r w:rsidRPr="002033A5">
        <w:rPr>
          <w:sz w:val="24"/>
          <w:szCs w:val="24"/>
        </w:rPr>
        <w:t xml:space="preserve">ette enquête qui se réalise sur une base annuelle. Elle portera sur </w:t>
      </w:r>
      <w:r w:rsidRPr="002033A5">
        <w:rPr>
          <w:caps/>
          <w:sz w:val="24"/>
          <w:szCs w:val="24"/>
        </w:rPr>
        <w:t>180</w:t>
      </w:r>
      <w:r w:rsidRPr="002033A5">
        <w:rPr>
          <w:sz w:val="24"/>
          <w:szCs w:val="24"/>
        </w:rPr>
        <w:t xml:space="preserve"> institutions de plusieurs niveaux de soins offrant à la fois des services de planification familiale et d’obstétrique et permettra d’apprécier notamment la disponibilité des intrants et services de SR (SM et PF), également la satisfaction des clients de la PF des sites visités.</w:t>
      </w:r>
    </w:p>
    <w:p w14:paraId="6AE08C11" w14:textId="77777777" w:rsidR="00071BAE" w:rsidRPr="002033A5" w:rsidRDefault="00071BAE" w:rsidP="00071BAE">
      <w:pPr>
        <w:jc w:val="both"/>
        <w:rPr>
          <w:sz w:val="24"/>
          <w:szCs w:val="24"/>
        </w:rPr>
      </w:pPr>
    </w:p>
    <w:p w14:paraId="436A5D10" w14:textId="77777777" w:rsidR="00071BAE" w:rsidRPr="002033A5" w:rsidRDefault="00071BAE" w:rsidP="00071BAE">
      <w:pPr>
        <w:rPr>
          <w:sz w:val="24"/>
          <w:szCs w:val="24"/>
        </w:rPr>
      </w:pPr>
      <w:r w:rsidRPr="002033A5">
        <w:rPr>
          <w:b/>
          <w:sz w:val="24"/>
          <w:szCs w:val="24"/>
        </w:rPr>
        <w:t>II-. OBJECTIFS</w:t>
      </w:r>
    </w:p>
    <w:p w14:paraId="62811670" w14:textId="77777777" w:rsidR="00071BAE" w:rsidRPr="002033A5" w:rsidRDefault="00071BAE" w:rsidP="00071BAE">
      <w:pPr>
        <w:jc w:val="both"/>
        <w:rPr>
          <w:b/>
          <w:sz w:val="24"/>
          <w:szCs w:val="24"/>
        </w:rPr>
      </w:pPr>
    </w:p>
    <w:p w14:paraId="4F740D86" w14:textId="77777777" w:rsidR="002033A5" w:rsidRPr="002033A5" w:rsidRDefault="002033A5" w:rsidP="002033A5">
      <w:pPr>
        <w:jc w:val="both"/>
        <w:rPr>
          <w:sz w:val="24"/>
          <w:szCs w:val="24"/>
        </w:rPr>
      </w:pPr>
      <w:r w:rsidRPr="002033A5">
        <w:rPr>
          <w:sz w:val="24"/>
          <w:szCs w:val="24"/>
        </w:rPr>
        <w:t>Les objectifs se présentent comme suit :</w:t>
      </w:r>
    </w:p>
    <w:p w14:paraId="3237BBE6" w14:textId="6C19B1FA" w:rsidR="002033A5" w:rsidRPr="002033A5" w:rsidRDefault="002033A5" w:rsidP="002033A5">
      <w:pPr>
        <w:numPr>
          <w:ilvl w:val="0"/>
          <w:numId w:val="25"/>
        </w:numPr>
        <w:jc w:val="both"/>
        <w:rPr>
          <w:sz w:val="24"/>
          <w:szCs w:val="24"/>
        </w:rPr>
      </w:pPr>
      <w:r w:rsidRPr="002033A5">
        <w:rPr>
          <w:sz w:val="24"/>
          <w:szCs w:val="24"/>
        </w:rPr>
        <w:t xml:space="preserve">Procéder à la collecte de données en utilisant les instruments de </w:t>
      </w:r>
      <w:r w:rsidRPr="002033A5">
        <w:rPr>
          <w:sz w:val="24"/>
          <w:szCs w:val="24"/>
        </w:rPr>
        <w:t>collecte fournis</w:t>
      </w:r>
      <w:r w:rsidRPr="002033A5">
        <w:rPr>
          <w:sz w:val="24"/>
          <w:szCs w:val="24"/>
        </w:rPr>
        <w:t xml:space="preserve"> au niveau des 180 institutions sanitaires de l’échantillonnage ;</w:t>
      </w:r>
    </w:p>
    <w:p w14:paraId="1F3047D0" w14:textId="77777777" w:rsidR="002033A5" w:rsidRPr="002033A5" w:rsidRDefault="002033A5" w:rsidP="002033A5">
      <w:pPr>
        <w:numPr>
          <w:ilvl w:val="0"/>
          <w:numId w:val="25"/>
        </w:numPr>
        <w:jc w:val="both"/>
        <w:rPr>
          <w:sz w:val="24"/>
          <w:szCs w:val="24"/>
        </w:rPr>
      </w:pPr>
      <w:r w:rsidRPr="002033A5">
        <w:rPr>
          <w:sz w:val="24"/>
          <w:szCs w:val="24"/>
        </w:rPr>
        <w:t>Produire un rapport préliminaire d’analyse (selon le canevas de présentation défini en annexe) des résultats de l’enquête en tenant compte des indicateurs ciblés pour réactions ;</w:t>
      </w:r>
    </w:p>
    <w:p w14:paraId="1A3FC790" w14:textId="77777777" w:rsidR="002033A5" w:rsidRPr="002033A5" w:rsidRDefault="002033A5" w:rsidP="002033A5">
      <w:pPr>
        <w:numPr>
          <w:ilvl w:val="0"/>
          <w:numId w:val="25"/>
        </w:numPr>
        <w:jc w:val="both"/>
        <w:rPr>
          <w:sz w:val="24"/>
          <w:szCs w:val="24"/>
        </w:rPr>
      </w:pPr>
      <w:r w:rsidRPr="002033A5">
        <w:rPr>
          <w:sz w:val="24"/>
          <w:szCs w:val="24"/>
        </w:rPr>
        <w:t>Soumettre la liste de toutes les personnes rencontrées au niveau institutionnel avec leurs coordonnées (site visité + adresse confirmée - téléphone - email - date de la visite des enquêteurs) ;</w:t>
      </w:r>
    </w:p>
    <w:p w14:paraId="1BD7A05A" w14:textId="77777777" w:rsidR="002033A5" w:rsidRPr="002033A5" w:rsidRDefault="002033A5" w:rsidP="002033A5">
      <w:pPr>
        <w:numPr>
          <w:ilvl w:val="0"/>
          <w:numId w:val="25"/>
        </w:numPr>
        <w:jc w:val="both"/>
        <w:rPr>
          <w:sz w:val="24"/>
          <w:szCs w:val="24"/>
        </w:rPr>
      </w:pPr>
      <w:r w:rsidRPr="002033A5">
        <w:rPr>
          <w:sz w:val="24"/>
          <w:szCs w:val="24"/>
        </w:rPr>
        <w:t>Programmer et conduire la restitution des résultats de l’enquête, édition 2023, pour le staff technique du MSPP et le comité technique de pilotage ;</w:t>
      </w:r>
    </w:p>
    <w:p w14:paraId="3A2F69A6" w14:textId="77777777" w:rsidR="002033A5" w:rsidRPr="002033A5" w:rsidRDefault="002033A5" w:rsidP="002033A5">
      <w:pPr>
        <w:numPr>
          <w:ilvl w:val="0"/>
          <w:numId w:val="25"/>
        </w:numPr>
        <w:jc w:val="both"/>
        <w:rPr>
          <w:sz w:val="24"/>
          <w:szCs w:val="24"/>
        </w:rPr>
      </w:pPr>
      <w:r w:rsidRPr="002033A5">
        <w:rPr>
          <w:sz w:val="24"/>
          <w:szCs w:val="24"/>
        </w:rPr>
        <w:t>Intégrer, au rapport final, les réactions pertinentes issues de cette restitution.</w:t>
      </w:r>
    </w:p>
    <w:p w14:paraId="47F4CDAF" w14:textId="77777777" w:rsidR="002033A5" w:rsidRPr="002033A5" w:rsidRDefault="002033A5" w:rsidP="002033A5">
      <w:pPr>
        <w:jc w:val="both"/>
        <w:rPr>
          <w:caps/>
          <w:sz w:val="24"/>
          <w:szCs w:val="24"/>
        </w:rPr>
      </w:pPr>
    </w:p>
    <w:p w14:paraId="35AAADB2" w14:textId="77777777" w:rsidR="003F151A" w:rsidRPr="002033A5" w:rsidRDefault="003F151A" w:rsidP="003F151A">
      <w:pPr>
        <w:contextualSpacing/>
        <w:jc w:val="both"/>
        <w:rPr>
          <w:sz w:val="24"/>
          <w:szCs w:val="24"/>
        </w:rPr>
      </w:pPr>
    </w:p>
    <w:p w14:paraId="6FD6559C" w14:textId="0C88BA8B" w:rsidR="003F151A" w:rsidRPr="002033A5" w:rsidRDefault="003F151A" w:rsidP="0088509F">
      <w:pPr>
        <w:ind w:left="720"/>
        <w:contextualSpacing/>
        <w:jc w:val="both"/>
        <w:rPr>
          <w:b/>
          <w:color w:val="0070C0"/>
          <w:sz w:val="24"/>
          <w:szCs w:val="24"/>
        </w:rPr>
      </w:pPr>
      <w:r w:rsidRPr="002033A5">
        <w:rPr>
          <w:b/>
          <w:color w:val="0070C0"/>
          <w:sz w:val="24"/>
          <w:szCs w:val="24"/>
        </w:rPr>
        <w:t xml:space="preserve">ANNEX 1 : Terme de </w:t>
      </w:r>
      <w:r w:rsidR="002033A5" w:rsidRPr="002033A5">
        <w:rPr>
          <w:b/>
          <w:color w:val="0070C0"/>
          <w:sz w:val="24"/>
          <w:szCs w:val="24"/>
        </w:rPr>
        <w:t>référence</w:t>
      </w:r>
    </w:p>
    <w:p w14:paraId="53982CBE" w14:textId="6C6BFDAA" w:rsidR="003F151A" w:rsidRPr="002033A5" w:rsidRDefault="003F151A" w:rsidP="0088509F">
      <w:pPr>
        <w:ind w:left="720"/>
        <w:contextualSpacing/>
        <w:jc w:val="both"/>
        <w:rPr>
          <w:b/>
          <w:color w:val="0070C0"/>
          <w:sz w:val="24"/>
          <w:szCs w:val="24"/>
        </w:rPr>
      </w:pPr>
    </w:p>
    <w:p w14:paraId="0FF94619" w14:textId="77777777" w:rsidR="00071BAE" w:rsidRPr="002033A5" w:rsidRDefault="00071BAE" w:rsidP="00436C19">
      <w:pPr>
        <w:rPr>
          <w:b/>
          <w:sz w:val="24"/>
          <w:szCs w:val="24"/>
        </w:rPr>
      </w:pPr>
    </w:p>
    <w:p w14:paraId="6902F516" w14:textId="77777777" w:rsidR="00F5442F" w:rsidRPr="002033A5" w:rsidRDefault="00F5442F" w:rsidP="00F5442F">
      <w:pPr>
        <w:suppressAutoHyphens/>
        <w:jc w:val="center"/>
        <w:rPr>
          <w:b/>
          <w:sz w:val="24"/>
          <w:szCs w:val="24"/>
        </w:rPr>
      </w:pPr>
      <w:bookmarkStart w:id="0" w:name="_Hlk491068525"/>
    </w:p>
    <w:bookmarkEnd w:id="0"/>
    <w:p w14:paraId="31813C30" w14:textId="77777777" w:rsidR="00F5442F" w:rsidRPr="002033A5" w:rsidRDefault="00F5442F" w:rsidP="00F5442F">
      <w:pPr>
        <w:rPr>
          <w:sz w:val="24"/>
          <w:szCs w:val="24"/>
        </w:rPr>
      </w:pPr>
    </w:p>
    <w:p w14:paraId="45EEC631" w14:textId="77777777" w:rsidR="00245983" w:rsidRPr="002033A5" w:rsidRDefault="00245983">
      <w:pPr>
        <w:jc w:val="both"/>
        <w:rPr>
          <w:sz w:val="24"/>
          <w:szCs w:val="24"/>
        </w:rPr>
      </w:pPr>
    </w:p>
    <w:p w14:paraId="74362DF3" w14:textId="77777777" w:rsidR="00245983" w:rsidRPr="002033A5" w:rsidRDefault="00872FCA">
      <w:pPr>
        <w:pStyle w:val="ListParagraph"/>
        <w:numPr>
          <w:ilvl w:val="0"/>
          <w:numId w:val="3"/>
        </w:numPr>
        <w:jc w:val="both"/>
        <w:rPr>
          <w:sz w:val="24"/>
          <w:szCs w:val="24"/>
        </w:rPr>
      </w:pPr>
      <w:r w:rsidRPr="002033A5">
        <w:rPr>
          <w:b/>
          <w:sz w:val="24"/>
          <w:szCs w:val="24"/>
        </w:rPr>
        <w:t>À propos de l’UNFPA</w:t>
      </w:r>
    </w:p>
    <w:p w14:paraId="5D8DAF8C" w14:textId="77777777" w:rsidR="00245983" w:rsidRPr="002033A5" w:rsidRDefault="00245983">
      <w:pPr>
        <w:pStyle w:val="letter"/>
        <w:jc w:val="both"/>
        <w:rPr>
          <w:szCs w:val="24"/>
        </w:rPr>
      </w:pPr>
    </w:p>
    <w:p w14:paraId="1F9479D5" w14:textId="77777777" w:rsidR="00245983" w:rsidRPr="002033A5" w:rsidRDefault="00872FCA">
      <w:pPr>
        <w:pStyle w:val="letter"/>
        <w:jc w:val="both"/>
        <w:rPr>
          <w:szCs w:val="24"/>
        </w:rPr>
      </w:pPr>
      <w:r w:rsidRPr="002033A5">
        <w:rPr>
          <w:szCs w:val="24"/>
        </w:rPr>
        <w:lastRenderedPageBreak/>
        <w:t xml:space="preserve">L’UNFPA, le Fonds des Nations Unies pour la </w:t>
      </w:r>
      <w:r w:rsidR="00C035CF" w:rsidRPr="002033A5">
        <w:rPr>
          <w:szCs w:val="24"/>
        </w:rPr>
        <w:t>Po</w:t>
      </w:r>
      <w:r w:rsidRPr="002033A5">
        <w:rPr>
          <w:szCs w:val="24"/>
        </w:rPr>
        <w:t xml:space="preserve">pulation, est une </w:t>
      </w:r>
      <w:r w:rsidR="00DC6D85" w:rsidRPr="002033A5">
        <w:rPr>
          <w:szCs w:val="24"/>
        </w:rPr>
        <w:t xml:space="preserve">Agence </w:t>
      </w:r>
      <w:r w:rsidRPr="002033A5">
        <w:rPr>
          <w:szCs w:val="24"/>
        </w:rPr>
        <w:t xml:space="preserve">internationale de développement </w:t>
      </w:r>
      <w:r w:rsidRPr="002033A5">
        <w:rPr>
          <w:szCs w:val="24"/>
          <w:shd w:val="clear" w:color="auto" w:fill="FFFFFF"/>
        </w:rPr>
        <w:t>dont le but est de réaliser un monde où chaque grossesse est désirée, chaque accouchement est sans danger, et le potentiel de chaque jeune est accompli.</w:t>
      </w:r>
      <w:r w:rsidRPr="002033A5">
        <w:rPr>
          <w:szCs w:val="24"/>
        </w:rPr>
        <w:t xml:space="preserve">   </w:t>
      </w:r>
    </w:p>
    <w:p w14:paraId="1E12B068" w14:textId="77777777" w:rsidR="00245983" w:rsidRPr="002033A5" w:rsidRDefault="00245983">
      <w:pPr>
        <w:pStyle w:val="letter"/>
        <w:jc w:val="both"/>
        <w:rPr>
          <w:szCs w:val="24"/>
        </w:rPr>
      </w:pPr>
    </w:p>
    <w:p w14:paraId="4E0638F5" w14:textId="77777777" w:rsidR="00245983" w:rsidRPr="002033A5" w:rsidRDefault="00872FCA">
      <w:pPr>
        <w:pStyle w:val="letter"/>
        <w:jc w:val="both"/>
        <w:rPr>
          <w:szCs w:val="24"/>
        </w:rPr>
      </w:pPr>
      <w:r w:rsidRPr="002033A5">
        <w:rPr>
          <w:szCs w:val="24"/>
        </w:rPr>
        <w:t xml:space="preserve">L’UNFPA est la principale </w:t>
      </w:r>
      <w:r w:rsidR="00DC6D85" w:rsidRPr="002033A5">
        <w:rPr>
          <w:szCs w:val="24"/>
        </w:rPr>
        <w:t xml:space="preserve">Agence </w:t>
      </w:r>
      <w:r w:rsidRPr="002033A5">
        <w:rPr>
          <w:szCs w:val="24"/>
        </w:rPr>
        <w:t xml:space="preserve">des Nations Unies qui </w:t>
      </w:r>
      <w:r w:rsidRPr="002033A5">
        <w:rPr>
          <w:szCs w:val="24"/>
          <w:shd w:val="clear" w:color="auto" w:fill="FFFFFF"/>
        </w:rPr>
        <w:t>permet aux femmes et aux jeunes d’avoir une vie sexuelle et reproductive saine.</w:t>
      </w:r>
      <w:r w:rsidRPr="002033A5">
        <w:rPr>
          <w:szCs w:val="24"/>
        </w:rPr>
        <w:t xml:space="preserve"> Pour en savoir plus au sujet de l’UNFPA, veuillez visiter : </w:t>
      </w:r>
      <w:hyperlink r:id="rId10">
        <w:r w:rsidRPr="002033A5">
          <w:rPr>
            <w:rStyle w:val="InternetLink"/>
            <w:color w:val="0070C0"/>
            <w:szCs w:val="24"/>
          </w:rPr>
          <w:t>À propos de l’UNFPA.</w:t>
        </w:r>
      </w:hyperlink>
    </w:p>
    <w:p w14:paraId="5FC3EB2A" w14:textId="77777777" w:rsidR="00245983" w:rsidRPr="002033A5" w:rsidRDefault="00245983">
      <w:pPr>
        <w:pStyle w:val="letter"/>
        <w:jc w:val="both"/>
        <w:rPr>
          <w:b/>
          <w:szCs w:val="24"/>
          <w:u w:val="single"/>
        </w:rPr>
      </w:pPr>
    </w:p>
    <w:p w14:paraId="7A219421" w14:textId="77777777" w:rsidR="00245983" w:rsidRPr="002033A5" w:rsidRDefault="00872FCA">
      <w:pPr>
        <w:pStyle w:val="letter"/>
        <w:jc w:val="both"/>
        <w:rPr>
          <w:szCs w:val="24"/>
        </w:rPr>
      </w:pPr>
      <w:r w:rsidRPr="002033A5">
        <w:rPr>
          <w:b/>
          <w:szCs w:val="24"/>
        </w:rPr>
        <w:t>Objectif :</w:t>
      </w:r>
    </w:p>
    <w:p w14:paraId="753CA913" w14:textId="77777777" w:rsidR="00245983" w:rsidRPr="002033A5" w:rsidRDefault="00245983">
      <w:pPr>
        <w:pStyle w:val="letter"/>
        <w:jc w:val="both"/>
        <w:rPr>
          <w:szCs w:val="24"/>
        </w:rPr>
      </w:pPr>
    </w:p>
    <w:p w14:paraId="332F3E1B" w14:textId="77777777" w:rsidR="00245983" w:rsidRPr="002033A5" w:rsidRDefault="00872FCA">
      <w:pPr>
        <w:pStyle w:val="letter"/>
        <w:jc w:val="both"/>
        <w:rPr>
          <w:szCs w:val="24"/>
        </w:rPr>
      </w:pPr>
      <w:r w:rsidRPr="002033A5">
        <w:rPr>
          <w:szCs w:val="24"/>
        </w:rPr>
        <w:t xml:space="preserve">L’objectif de cette </w:t>
      </w:r>
      <w:r w:rsidR="00DC6D85" w:rsidRPr="002033A5">
        <w:rPr>
          <w:szCs w:val="24"/>
        </w:rPr>
        <w:t>Demande de Cotation est d`identifier</w:t>
      </w:r>
      <w:r w:rsidRPr="002033A5">
        <w:rPr>
          <w:szCs w:val="24"/>
        </w:rPr>
        <w:t xml:space="preserve"> un fournisseur en mesure de fournir à l’UNFPA les produits mentionnés ci-dessus. Le vendeur sélectionné sera tenu de fournir ces produits sur la base de bons de commande spécifiques envoyés au vendeur. </w:t>
      </w:r>
    </w:p>
    <w:p w14:paraId="366E638E" w14:textId="77777777" w:rsidR="00245983" w:rsidRPr="002033A5" w:rsidRDefault="00245983">
      <w:pPr>
        <w:pStyle w:val="letter"/>
        <w:jc w:val="both"/>
        <w:rPr>
          <w:szCs w:val="24"/>
        </w:rPr>
      </w:pPr>
    </w:p>
    <w:p w14:paraId="43EE1EF2" w14:textId="77777777" w:rsidR="00245983" w:rsidRPr="002033A5" w:rsidRDefault="00872FCA">
      <w:pPr>
        <w:pStyle w:val="ListParagraph"/>
        <w:numPr>
          <w:ilvl w:val="0"/>
          <w:numId w:val="3"/>
        </w:numPr>
        <w:jc w:val="both"/>
        <w:rPr>
          <w:b/>
          <w:sz w:val="24"/>
          <w:szCs w:val="24"/>
        </w:rPr>
      </w:pPr>
      <w:r w:rsidRPr="002033A5">
        <w:rPr>
          <w:b/>
          <w:sz w:val="24"/>
          <w:szCs w:val="24"/>
        </w:rPr>
        <w:t xml:space="preserve">Questions </w:t>
      </w:r>
    </w:p>
    <w:p w14:paraId="2125F405" w14:textId="77777777" w:rsidR="00245983" w:rsidRPr="002033A5" w:rsidRDefault="00872FCA">
      <w:pPr>
        <w:pStyle w:val="letter"/>
        <w:jc w:val="both"/>
        <w:rPr>
          <w:szCs w:val="24"/>
        </w:rPr>
      </w:pPr>
      <w:r w:rsidRPr="002033A5">
        <w:rPr>
          <w:szCs w:val="24"/>
        </w:rPr>
        <w:t>Les demandes de clarification doivent être communiquées par écrit au contact ci-dessous :</w:t>
      </w:r>
    </w:p>
    <w:p w14:paraId="480F2FF2" w14:textId="77777777" w:rsidR="00245983" w:rsidRPr="002033A5" w:rsidRDefault="00245983">
      <w:pPr>
        <w:pStyle w:val="letter"/>
        <w:jc w:val="both"/>
        <w:rPr>
          <w:szCs w:val="24"/>
          <w:u w:val="single"/>
        </w:rPr>
      </w:pPr>
    </w:p>
    <w:tbl>
      <w:tblPr>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583"/>
      </w:tblGrid>
      <w:tr w:rsidR="00245983" w:rsidRPr="002033A5" w14:paraId="7C8F5AC6" w14:textId="77777777">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09AF1F60" w14:textId="77777777" w:rsidR="00245983" w:rsidRPr="002033A5" w:rsidRDefault="00872FCA">
            <w:pPr>
              <w:pStyle w:val="letter"/>
              <w:jc w:val="both"/>
              <w:rPr>
                <w:szCs w:val="24"/>
              </w:rPr>
            </w:pPr>
            <w:r w:rsidRPr="002033A5">
              <w:rPr>
                <w:rFonts w:eastAsia="Calibri"/>
                <w:szCs w:val="24"/>
              </w:rPr>
              <w:t>Nom du contact de l’UNFPA :</w:t>
            </w:r>
          </w:p>
        </w:tc>
        <w:tc>
          <w:tcPr>
            <w:tcW w:w="558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1E534BCB" w14:textId="4A902AE2" w:rsidR="00245983" w:rsidRPr="002033A5" w:rsidRDefault="00830540">
            <w:pPr>
              <w:pStyle w:val="letter"/>
              <w:jc w:val="both"/>
              <w:rPr>
                <w:rFonts w:eastAsia="Calibri"/>
                <w:i/>
                <w:szCs w:val="24"/>
              </w:rPr>
            </w:pPr>
            <w:r>
              <w:rPr>
                <w:rFonts w:eastAsia="Calibri"/>
                <w:i/>
                <w:szCs w:val="24"/>
              </w:rPr>
              <w:t>Stephania Antoine GILLES</w:t>
            </w:r>
          </w:p>
        </w:tc>
      </w:tr>
      <w:tr w:rsidR="00245983" w:rsidRPr="002033A5" w14:paraId="03DB3164"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229A4854" w14:textId="77777777" w:rsidR="00245983" w:rsidRPr="002033A5" w:rsidRDefault="00872FCA">
            <w:pPr>
              <w:pStyle w:val="letter"/>
              <w:jc w:val="both"/>
              <w:rPr>
                <w:szCs w:val="24"/>
              </w:rPr>
            </w:pPr>
            <w:r w:rsidRPr="002033A5">
              <w:rPr>
                <w:rFonts w:eastAsia="Calibri"/>
                <w:szCs w:val="24"/>
              </w:rPr>
              <w:t>No. de tél.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13D595A9" w14:textId="396F90C5" w:rsidR="00245983" w:rsidRPr="002033A5" w:rsidRDefault="004D3AD4" w:rsidP="004D3AD4">
            <w:pPr>
              <w:pStyle w:val="letter"/>
              <w:jc w:val="both"/>
              <w:rPr>
                <w:rFonts w:eastAsia="Calibri"/>
                <w:i/>
                <w:szCs w:val="24"/>
              </w:rPr>
            </w:pPr>
            <w:r w:rsidRPr="002033A5">
              <w:rPr>
                <w:rFonts w:eastAsia="Calibri"/>
                <w:i/>
                <w:szCs w:val="24"/>
              </w:rPr>
              <w:t>3 701 434</w:t>
            </w:r>
            <w:r w:rsidR="00830540">
              <w:rPr>
                <w:rFonts w:eastAsia="Calibri"/>
                <w:i/>
                <w:szCs w:val="24"/>
              </w:rPr>
              <w:t>1</w:t>
            </w:r>
          </w:p>
        </w:tc>
      </w:tr>
      <w:tr w:rsidR="00245983" w:rsidRPr="002033A5" w14:paraId="144404B6"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0B027743" w14:textId="77777777" w:rsidR="00245983" w:rsidRPr="002033A5" w:rsidRDefault="00872FCA">
            <w:pPr>
              <w:pStyle w:val="letter"/>
              <w:jc w:val="both"/>
              <w:rPr>
                <w:szCs w:val="24"/>
              </w:rPr>
            </w:pPr>
            <w:r w:rsidRPr="002033A5">
              <w:rPr>
                <w:rFonts w:eastAsia="Calibri"/>
                <w:szCs w:val="24"/>
              </w:rPr>
              <w:t>No. de fax :</w:t>
            </w:r>
          </w:p>
        </w:tc>
        <w:tc>
          <w:tcPr>
            <w:tcW w:w="558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78A60613" w14:textId="77777777" w:rsidR="00245983" w:rsidRPr="002033A5" w:rsidRDefault="004D3AD4">
            <w:pPr>
              <w:pStyle w:val="letter"/>
              <w:jc w:val="both"/>
              <w:rPr>
                <w:rFonts w:eastAsia="Calibri"/>
                <w:i/>
                <w:szCs w:val="24"/>
              </w:rPr>
            </w:pPr>
            <w:r w:rsidRPr="002033A5">
              <w:rPr>
                <w:rFonts w:eastAsia="Calibri"/>
                <w:i/>
                <w:szCs w:val="24"/>
              </w:rPr>
              <w:t>N/A</w:t>
            </w:r>
          </w:p>
        </w:tc>
      </w:tr>
      <w:tr w:rsidR="00245983" w:rsidRPr="002033A5" w14:paraId="050BDA89" w14:textId="77777777">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10756CB2" w14:textId="77777777" w:rsidR="00245983" w:rsidRPr="002033A5" w:rsidRDefault="00872FCA">
            <w:pPr>
              <w:pStyle w:val="letter"/>
              <w:jc w:val="both"/>
              <w:rPr>
                <w:szCs w:val="24"/>
              </w:rPr>
            </w:pPr>
            <w:r w:rsidRPr="002033A5">
              <w:rPr>
                <w:rFonts w:eastAsia="Calibri"/>
                <w:szCs w:val="24"/>
              </w:rPr>
              <w:t>Adresse e-mail du contact :</w:t>
            </w:r>
          </w:p>
        </w:tc>
        <w:tc>
          <w:tcPr>
            <w:tcW w:w="558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03D7B372" w14:textId="6A3C7C00" w:rsidR="00245983" w:rsidRPr="002033A5" w:rsidRDefault="00830540">
            <w:pPr>
              <w:pStyle w:val="letter"/>
              <w:jc w:val="both"/>
              <w:rPr>
                <w:rFonts w:eastAsia="Calibri"/>
                <w:i/>
                <w:szCs w:val="24"/>
              </w:rPr>
            </w:pPr>
            <w:r>
              <w:rPr>
                <w:rFonts w:eastAsia="Calibri"/>
                <w:i/>
                <w:szCs w:val="24"/>
              </w:rPr>
              <w:t>gilles@unfpa.org</w:t>
            </w:r>
          </w:p>
        </w:tc>
      </w:tr>
    </w:tbl>
    <w:p w14:paraId="32CB5D23" w14:textId="77777777" w:rsidR="00245983" w:rsidRPr="002033A5" w:rsidRDefault="00245983">
      <w:pPr>
        <w:pStyle w:val="letter"/>
        <w:jc w:val="both"/>
        <w:rPr>
          <w:szCs w:val="24"/>
          <w:u w:val="single"/>
        </w:rPr>
      </w:pPr>
    </w:p>
    <w:p w14:paraId="3EC0D75D" w14:textId="6ED49B38" w:rsidR="00245983" w:rsidRPr="002033A5" w:rsidRDefault="00C035CF">
      <w:pPr>
        <w:tabs>
          <w:tab w:val="left" w:pos="6630"/>
          <w:tab w:val="left" w:pos="9120"/>
        </w:tabs>
        <w:jc w:val="both"/>
        <w:rPr>
          <w:sz w:val="24"/>
          <w:szCs w:val="24"/>
        </w:rPr>
      </w:pPr>
      <w:r w:rsidRPr="002033A5">
        <w:rPr>
          <w:rFonts w:eastAsia="Times"/>
          <w:sz w:val="24"/>
          <w:szCs w:val="24"/>
        </w:rPr>
        <w:t>La</w:t>
      </w:r>
      <w:r w:rsidR="00DC6D85" w:rsidRPr="002033A5">
        <w:rPr>
          <w:rFonts w:eastAsia="Times"/>
          <w:sz w:val="24"/>
          <w:szCs w:val="24"/>
        </w:rPr>
        <w:t xml:space="preserve"> date limite</w:t>
      </w:r>
      <w:r w:rsidR="00872FCA" w:rsidRPr="002033A5">
        <w:rPr>
          <w:rFonts w:eastAsia="Times"/>
          <w:sz w:val="24"/>
          <w:szCs w:val="24"/>
        </w:rPr>
        <w:t xml:space="preserve"> pour envoyer des questions est fixé</w:t>
      </w:r>
      <w:r w:rsidR="00DC6D85" w:rsidRPr="002033A5">
        <w:rPr>
          <w:rFonts w:eastAsia="Times"/>
          <w:sz w:val="24"/>
          <w:szCs w:val="24"/>
        </w:rPr>
        <w:t>e</w:t>
      </w:r>
      <w:r w:rsidR="00872FCA" w:rsidRPr="002033A5">
        <w:rPr>
          <w:rFonts w:eastAsia="Times"/>
          <w:sz w:val="24"/>
          <w:szCs w:val="24"/>
        </w:rPr>
        <w:t xml:space="preserve"> </w:t>
      </w:r>
      <w:r w:rsidR="00E3730E" w:rsidRPr="002033A5">
        <w:rPr>
          <w:rFonts w:eastAsia="Times"/>
          <w:sz w:val="24"/>
          <w:szCs w:val="24"/>
        </w:rPr>
        <w:t>au</w:t>
      </w:r>
      <w:r w:rsidR="00E3730E" w:rsidRPr="002033A5">
        <w:rPr>
          <w:rFonts w:eastAsia="Times"/>
          <w:b/>
          <w:sz w:val="24"/>
          <w:szCs w:val="24"/>
        </w:rPr>
        <w:t xml:space="preserve"> </w:t>
      </w:r>
      <w:r w:rsidR="00763424" w:rsidRPr="00763424">
        <w:rPr>
          <w:rFonts w:eastAsia="Times"/>
          <w:bCs/>
          <w:sz w:val="24"/>
          <w:szCs w:val="24"/>
        </w:rPr>
        <w:t>2</w:t>
      </w:r>
      <w:r w:rsidR="00830540">
        <w:rPr>
          <w:rFonts w:eastAsia="Times"/>
          <w:bCs/>
          <w:sz w:val="24"/>
          <w:szCs w:val="24"/>
        </w:rPr>
        <w:t>5</w:t>
      </w:r>
      <w:r w:rsidR="00763424" w:rsidRPr="00763424">
        <w:rPr>
          <w:rFonts w:eastAsia="Times"/>
          <w:bCs/>
          <w:sz w:val="24"/>
          <w:szCs w:val="24"/>
        </w:rPr>
        <w:t xml:space="preserve"> aout 2023</w:t>
      </w:r>
      <w:r w:rsidR="00872FCA" w:rsidRPr="00763424">
        <w:rPr>
          <w:rFonts w:eastAsia="Times"/>
          <w:sz w:val="24"/>
          <w:szCs w:val="24"/>
        </w:rPr>
        <w:t>.</w:t>
      </w:r>
      <w:r w:rsidR="00872FCA" w:rsidRPr="002033A5">
        <w:rPr>
          <w:rFonts w:eastAsia="Times"/>
          <w:sz w:val="24"/>
          <w:szCs w:val="24"/>
        </w:rPr>
        <w:t xml:space="preserve"> Les réponses aux questions seront communiquées par écrit à toutes les parties le plus rapidement possible après ce délai.</w:t>
      </w:r>
    </w:p>
    <w:p w14:paraId="0712E7DA" w14:textId="77777777" w:rsidR="00245983" w:rsidRPr="002033A5" w:rsidRDefault="00245983">
      <w:pPr>
        <w:pStyle w:val="letter"/>
        <w:jc w:val="both"/>
        <w:rPr>
          <w:szCs w:val="24"/>
          <w:u w:val="single"/>
        </w:rPr>
      </w:pPr>
    </w:p>
    <w:p w14:paraId="7B553A3C" w14:textId="77777777" w:rsidR="00245983" w:rsidRPr="002033A5" w:rsidRDefault="00245983">
      <w:pPr>
        <w:pStyle w:val="letter"/>
        <w:jc w:val="both"/>
        <w:rPr>
          <w:szCs w:val="24"/>
          <w:u w:val="single"/>
        </w:rPr>
      </w:pPr>
    </w:p>
    <w:p w14:paraId="0FA7F7CD" w14:textId="77777777" w:rsidR="00245983" w:rsidRPr="002033A5" w:rsidRDefault="00872FCA">
      <w:pPr>
        <w:pStyle w:val="ListParagraph"/>
        <w:numPr>
          <w:ilvl w:val="0"/>
          <w:numId w:val="3"/>
        </w:numPr>
        <w:jc w:val="both"/>
        <w:rPr>
          <w:b/>
          <w:sz w:val="24"/>
          <w:szCs w:val="24"/>
        </w:rPr>
      </w:pPr>
      <w:r w:rsidRPr="002033A5">
        <w:rPr>
          <w:b/>
          <w:sz w:val="24"/>
          <w:szCs w:val="24"/>
        </w:rPr>
        <w:t xml:space="preserve">Contenu </w:t>
      </w:r>
      <w:r w:rsidR="00DC6D85" w:rsidRPr="002033A5">
        <w:rPr>
          <w:b/>
          <w:sz w:val="24"/>
          <w:szCs w:val="24"/>
        </w:rPr>
        <w:t>de</w:t>
      </w:r>
      <w:r w:rsidR="00950066" w:rsidRPr="002033A5">
        <w:rPr>
          <w:b/>
          <w:sz w:val="24"/>
          <w:szCs w:val="24"/>
        </w:rPr>
        <w:t>s</w:t>
      </w:r>
      <w:r w:rsidR="00DC6D85" w:rsidRPr="002033A5">
        <w:rPr>
          <w:b/>
          <w:sz w:val="24"/>
          <w:szCs w:val="24"/>
        </w:rPr>
        <w:t xml:space="preserve"> Cotation</w:t>
      </w:r>
      <w:r w:rsidR="00950066" w:rsidRPr="002033A5">
        <w:rPr>
          <w:b/>
          <w:sz w:val="24"/>
          <w:szCs w:val="24"/>
        </w:rPr>
        <w:t>s</w:t>
      </w:r>
    </w:p>
    <w:p w14:paraId="39DA2B72" w14:textId="77777777" w:rsidR="00245983" w:rsidRPr="002033A5" w:rsidRDefault="00872FCA">
      <w:pPr>
        <w:pStyle w:val="letter"/>
        <w:jc w:val="both"/>
        <w:rPr>
          <w:szCs w:val="24"/>
        </w:rPr>
      </w:pPr>
      <w:r w:rsidRPr="002033A5">
        <w:rPr>
          <w:szCs w:val="24"/>
        </w:rPr>
        <w:t xml:space="preserve">Les </w:t>
      </w:r>
      <w:r w:rsidR="00950066" w:rsidRPr="002033A5">
        <w:rPr>
          <w:szCs w:val="24"/>
        </w:rPr>
        <w:t xml:space="preserve">Cotations </w:t>
      </w:r>
      <w:r w:rsidRPr="002033A5">
        <w:rPr>
          <w:szCs w:val="24"/>
        </w:rPr>
        <w:t>doivent être envoyé</w:t>
      </w:r>
      <w:r w:rsidR="00950066" w:rsidRPr="002033A5">
        <w:rPr>
          <w:szCs w:val="24"/>
        </w:rPr>
        <w:t>e</w:t>
      </w:r>
      <w:r w:rsidRPr="002033A5">
        <w:rPr>
          <w:szCs w:val="24"/>
        </w:rPr>
        <w:t xml:space="preserve">s en un seul e-mail, si la taille le permet. Les </w:t>
      </w:r>
      <w:r w:rsidR="00950066" w:rsidRPr="002033A5">
        <w:rPr>
          <w:szCs w:val="24"/>
        </w:rPr>
        <w:t xml:space="preserve">cotations  </w:t>
      </w:r>
      <w:r w:rsidRPr="002033A5">
        <w:rPr>
          <w:szCs w:val="24"/>
        </w:rPr>
        <w:t>doivent contenir :</w:t>
      </w:r>
    </w:p>
    <w:p w14:paraId="01C18232" w14:textId="77777777" w:rsidR="00245983" w:rsidRPr="002033A5" w:rsidRDefault="00245983">
      <w:pPr>
        <w:tabs>
          <w:tab w:val="left" w:pos="6630"/>
          <w:tab w:val="left" w:pos="9120"/>
        </w:tabs>
        <w:jc w:val="both"/>
        <w:rPr>
          <w:rFonts w:eastAsia="Times"/>
          <w:sz w:val="24"/>
          <w:szCs w:val="24"/>
        </w:rPr>
      </w:pPr>
    </w:p>
    <w:p w14:paraId="77AC5A1A" w14:textId="77777777" w:rsidR="00245983" w:rsidRPr="002033A5" w:rsidRDefault="00872FCA">
      <w:pPr>
        <w:pStyle w:val="ListParagraph"/>
        <w:numPr>
          <w:ilvl w:val="0"/>
          <w:numId w:val="2"/>
        </w:numPr>
        <w:tabs>
          <w:tab w:val="left" w:pos="6630"/>
          <w:tab w:val="left" w:pos="9120"/>
        </w:tabs>
        <w:jc w:val="both"/>
        <w:rPr>
          <w:rFonts w:eastAsia="Times"/>
          <w:sz w:val="24"/>
          <w:szCs w:val="24"/>
        </w:rPr>
      </w:pPr>
      <w:r w:rsidRPr="002033A5">
        <w:rPr>
          <w:rFonts w:eastAsia="Times"/>
          <w:sz w:val="24"/>
          <w:szCs w:val="24"/>
        </w:rPr>
        <w:t xml:space="preserve">L’offre technique, conformément aux exigences contenues dans les spécifications, qui doit se conformer à la clause suivante : </w:t>
      </w:r>
    </w:p>
    <w:p w14:paraId="2A09A284" w14:textId="77777777" w:rsidR="00245983" w:rsidRPr="002033A5" w:rsidRDefault="00872FCA">
      <w:pPr>
        <w:numPr>
          <w:ilvl w:val="0"/>
          <w:numId w:val="2"/>
        </w:numPr>
        <w:jc w:val="both"/>
        <w:rPr>
          <w:sz w:val="24"/>
          <w:szCs w:val="24"/>
        </w:rPr>
      </w:pPr>
      <w:r w:rsidRPr="002033A5">
        <w:rPr>
          <w:sz w:val="24"/>
          <w:szCs w:val="24"/>
        </w:rPr>
        <w:t>Le devis financier, à envoyer en respectant strictement le formulaire de devis financier.</w:t>
      </w:r>
    </w:p>
    <w:p w14:paraId="4EAC714D" w14:textId="77777777" w:rsidR="004302B5" w:rsidRPr="002033A5" w:rsidRDefault="004302B5" w:rsidP="004302B5">
      <w:pPr>
        <w:jc w:val="both"/>
        <w:rPr>
          <w:sz w:val="24"/>
          <w:szCs w:val="24"/>
        </w:rPr>
      </w:pPr>
    </w:p>
    <w:p w14:paraId="48837E86" w14:textId="53BF7898" w:rsidR="004302B5" w:rsidRPr="002033A5" w:rsidRDefault="004302B5" w:rsidP="004302B5">
      <w:pPr>
        <w:jc w:val="both"/>
        <w:rPr>
          <w:sz w:val="24"/>
          <w:szCs w:val="24"/>
        </w:rPr>
      </w:pPr>
      <w:r w:rsidRPr="002033A5">
        <w:rPr>
          <w:sz w:val="24"/>
          <w:szCs w:val="24"/>
        </w:rPr>
        <w:t xml:space="preserve">Les propositions techniques et financières doivent être soumises </w:t>
      </w:r>
      <w:r w:rsidRPr="002033A5">
        <w:rPr>
          <w:color w:val="0070C0"/>
          <w:sz w:val="24"/>
          <w:szCs w:val="24"/>
        </w:rPr>
        <w:t xml:space="preserve">en </w:t>
      </w:r>
      <w:r w:rsidRPr="002033A5">
        <w:rPr>
          <w:b/>
          <w:color w:val="0070C0"/>
          <w:sz w:val="24"/>
          <w:szCs w:val="24"/>
        </w:rPr>
        <w:t>DEUX pièces jointes séparées. N'oubliez pas de</w:t>
      </w:r>
      <w:r w:rsidR="00763424" w:rsidRPr="002033A5">
        <w:rPr>
          <w:b/>
          <w:color w:val="0070C0"/>
          <w:sz w:val="24"/>
          <w:szCs w:val="24"/>
        </w:rPr>
        <w:t xml:space="preserve"> « protéger</w:t>
      </w:r>
      <w:r w:rsidRPr="002033A5">
        <w:rPr>
          <w:b/>
          <w:color w:val="0070C0"/>
          <w:sz w:val="24"/>
          <w:szCs w:val="24"/>
        </w:rPr>
        <w:t xml:space="preserve"> par mot de passe»</w:t>
      </w:r>
      <w:r w:rsidRPr="002033A5">
        <w:rPr>
          <w:color w:val="0070C0"/>
          <w:sz w:val="24"/>
          <w:szCs w:val="24"/>
        </w:rPr>
        <w:t xml:space="preserve"> </w:t>
      </w:r>
      <w:r w:rsidRPr="002033A5">
        <w:rPr>
          <w:sz w:val="24"/>
          <w:szCs w:val="24"/>
        </w:rPr>
        <w:t>votre proposition financière. Ne pas se conformer à cette exigence annulera immédiatement l'offre considérée.</w:t>
      </w:r>
    </w:p>
    <w:p w14:paraId="7799B591" w14:textId="77777777" w:rsidR="004302B5" w:rsidRPr="002033A5" w:rsidRDefault="004302B5" w:rsidP="004302B5">
      <w:pPr>
        <w:jc w:val="both"/>
        <w:rPr>
          <w:sz w:val="24"/>
          <w:szCs w:val="24"/>
        </w:rPr>
      </w:pPr>
    </w:p>
    <w:p w14:paraId="5ED7622D" w14:textId="77777777" w:rsidR="004302B5" w:rsidRPr="002033A5" w:rsidRDefault="004302B5" w:rsidP="004302B5">
      <w:pPr>
        <w:jc w:val="both"/>
        <w:rPr>
          <w:sz w:val="24"/>
          <w:szCs w:val="24"/>
        </w:rPr>
      </w:pPr>
      <w:r w:rsidRPr="002033A5">
        <w:rPr>
          <w:sz w:val="24"/>
          <w:szCs w:val="24"/>
        </w:rPr>
        <w:t>Les deux parties de l'offre doivent être signées par l'autorité compétente de la société soumissionnaire et soumises au format PDF.</w:t>
      </w:r>
    </w:p>
    <w:p w14:paraId="07DE44C6" w14:textId="77777777" w:rsidR="00245983" w:rsidRPr="002033A5" w:rsidRDefault="00245983">
      <w:pPr>
        <w:jc w:val="both"/>
        <w:rPr>
          <w:sz w:val="24"/>
          <w:szCs w:val="24"/>
        </w:rPr>
      </w:pPr>
    </w:p>
    <w:p w14:paraId="75010D09" w14:textId="77777777" w:rsidR="00245983" w:rsidRPr="002033A5" w:rsidRDefault="00872FCA">
      <w:pPr>
        <w:tabs>
          <w:tab w:val="left" w:pos="6630"/>
          <w:tab w:val="left" w:pos="9120"/>
        </w:tabs>
        <w:jc w:val="both"/>
        <w:rPr>
          <w:sz w:val="24"/>
          <w:szCs w:val="24"/>
        </w:rPr>
      </w:pPr>
      <w:r w:rsidRPr="002033A5">
        <w:rPr>
          <w:rFonts w:eastAsia="Times"/>
          <w:sz w:val="24"/>
          <w:szCs w:val="24"/>
        </w:rPr>
        <w:t xml:space="preserve">Les deux parties </w:t>
      </w:r>
      <w:r w:rsidR="00950066" w:rsidRPr="002033A5">
        <w:rPr>
          <w:rFonts w:eastAsia="Times"/>
          <w:sz w:val="24"/>
          <w:szCs w:val="24"/>
        </w:rPr>
        <w:t>de la cotation</w:t>
      </w:r>
      <w:r w:rsidRPr="002033A5">
        <w:rPr>
          <w:rFonts w:eastAsia="Times"/>
          <w:sz w:val="24"/>
          <w:szCs w:val="24"/>
        </w:rPr>
        <w:t xml:space="preserve"> doivent être signées par l’autorité compétente de la société soumissionnaire et envoyées </w:t>
      </w:r>
      <w:r w:rsidR="00950066" w:rsidRPr="002033A5">
        <w:rPr>
          <w:rFonts w:eastAsia="Times"/>
          <w:sz w:val="24"/>
          <w:szCs w:val="24"/>
        </w:rPr>
        <w:t xml:space="preserve">en </w:t>
      </w:r>
      <w:r w:rsidRPr="002033A5">
        <w:rPr>
          <w:rFonts w:eastAsia="Times"/>
          <w:sz w:val="24"/>
          <w:szCs w:val="24"/>
        </w:rPr>
        <w:t>format PDF.</w:t>
      </w:r>
    </w:p>
    <w:p w14:paraId="445DF972" w14:textId="77777777" w:rsidR="00245983" w:rsidRPr="002033A5" w:rsidRDefault="00245983">
      <w:pPr>
        <w:pStyle w:val="letter"/>
        <w:jc w:val="both"/>
        <w:rPr>
          <w:szCs w:val="24"/>
        </w:rPr>
      </w:pPr>
    </w:p>
    <w:p w14:paraId="643768E6" w14:textId="77777777" w:rsidR="00245983" w:rsidRPr="002033A5" w:rsidRDefault="00872FCA">
      <w:pPr>
        <w:pStyle w:val="ListParagraph"/>
        <w:numPr>
          <w:ilvl w:val="0"/>
          <w:numId w:val="3"/>
        </w:numPr>
        <w:jc w:val="both"/>
        <w:rPr>
          <w:b/>
          <w:sz w:val="24"/>
          <w:szCs w:val="24"/>
        </w:rPr>
      </w:pPr>
      <w:r w:rsidRPr="002033A5">
        <w:rPr>
          <w:b/>
          <w:sz w:val="24"/>
          <w:szCs w:val="24"/>
        </w:rPr>
        <w:t xml:space="preserve">Instructions de soumission </w:t>
      </w:r>
    </w:p>
    <w:p w14:paraId="3CC01B44" w14:textId="18B766CE" w:rsidR="00245983" w:rsidRPr="002033A5" w:rsidRDefault="00872FCA">
      <w:pPr>
        <w:pStyle w:val="letter"/>
        <w:jc w:val="both"/>
        <w:rPr>
          <w:szCs w:val="24"/>
        </w:rPr>
      </w:pPr>
      <w:r w:rsidRPr="002033A5">
        <w:rPr>
          <w:szCs w:val="24"/>
        </w:rPr>
        <w:lastRenderedPageBreak/>
        <w:t xml:space="preserve">Les offres doivent être préparées conformément aux recommandations présentées dans la </w:t>
      </w:r>
      <w:r w:rsidRPr="002033A5">
        <w:rPr>
          <w:b/>
          <w:szCs w:val="24"/>
        </w:rPr>
        <w:t>section </w:t>
      </w:r>
      <w:r w:rsidR="00950066" w:rsidRPr="002033A5">
        <w:rPr>
          <w:b/>
          <w:szCs w:val="24"/>
        </w:rPr>
        <w:t>III</w:t>
      </w:r>
      <w:r w:rsidR="00950066" w:rsidRPr="002033A5">
        <w:rPr>
          <w:szCs w:val="24"/>
        </w:rPr>
        <w:t xml:space="preserve"> </w:t>
      </w:r>
      <w:r w:rsidRPr="002033A5">
        <w:rPr>
          <w:szCs w:val="24"/>
        </w:rPr>
        <w:t xml:space="preserve">ci-dessus et envoyées par e-mail accompagnées d’un devis dûment rempli et signé au contact indiqué ci-dessous au plus tard le : </w:t>
      </w:r>
      <w:r w:rsidR="00372C66" w:rsidRPr="002033A5">
        <w:rPr>
          <w:szCs w:val="24"/>
        </w:rPr>
        <w:t xml:space="preserve"> </w:t>
      </w:r>
      <w:r w:rsidR="00830540">
        <w:rPr>
          <w:bCs/>
          <w:szCs w:val="24"/>
        </w:rPr>
        <w:t xml:space="preserve">31 Aout </w:t>
      </w:r>
      <w:r w:rsidR="00763424" w:rsidRPr="00763424">
        <w:rPr>
          <w:bCs/>
          <w:szCs w:val="24"/>
        </w:rPr>
        <w:t xml:space="preserve"> 2023, 4h</w:t>
      </w:r>
      <w:r w:rsidR="00763424">
        <w:rPr>
          <w:bCs/>
          <w:szCs w:val="24"/>
        </w:rPr>
        <w:t>0</w:t>
      </w:r>
      <w:r w:rsidR="00763424" w:rsidRPr="00763424">
        <w:rPr>
          <w:bCs/>
          <w:szCs w:val="24"/>
        </w:rPr>
        <w:t>0PM</w:t>
      </w:r>
      <w:r w:rsidR="000F4C1D" w:rsidRPr="002033A5">
        <w:rPr>
          <w:szCs w:val="24"/>
        </w:rPr>
        <w:t xml:space="preserve"> </w:t>
      </w:r>
      <w:r w:rsidR="004D3AD4" w:rsidRPr="002033A5">
        <w:rPr>
          <w:szCs w:val="24"/>
        </w:rPr>
        <w:t>heure d’Haiti</w:t>
      </w:r>
      <w:r w:rsidRPr="002033A5">
        <w:rPr>
          <w:rStyle w:val="FootnoteAnchor"/>
          <w:szCs w:val="24"/>
        </w:rPr>
        <w:footnoteReference w:id="1"/>
      </w:r>
      <w:r w:rsidRPr="002033A5">
        <w:rPr>
          <w:szCs w:val="24"/>
        </w:rPr>
        <w:t>.</w:t>
      </w:r>
    </w:p>
    <w:p w14:paraId="30E2E622" w14:textId="77777777" w:rsidR="00245983" w:rsidRPr="002033A5" w:rsidRDefault="00245983">
      <w:pPr>
        <w:pStyle w:val="letter"/>
        <w:jc w:val="both"/>
        <w:rPr>
          <w:szCs w:val="24"/>
        </w:rPr>
      </w:pPr>
    </w:p>
    <w:p w14:paraId="0BA36572" w14:textId="77777777" w:rsidR="003F151A" w:rsidRPr="002033A5" w:rsidRDefault="003F151A" w:rsidP="003F151A">
      <w:pPr>
        <w:jc w:val="both"/>
        <w:rPr>
          <w:sz w:val="24"/>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F151A" w:rsidRPr="002033A5" w14:paraId="277C2C2C" w14:textId="77777777" w:rsidTr="00622D83">
        <w:trPr>
          <w:jc w:val="center"/>
        </w:trPr>
        <w:tc>
          <w:tcPr>
            <w:tcW w:w="3510" w:type="dxa"/>
            <w:shd w:val="clear" w:color="auto" w:fill="auto"/>
            <w:vAlign w:val="center"/>
          </w:tcPr>
          <w:p w14:paraId="167777A5" w14:textId="77777777" w:rsidR="003F151A" w:rsidRPr="002033A5" w:rsidRDefault="003F151A" w:rsidP="003F151A">
            <w:pPr>
              <w:jc w:val="both"/>
              <w:rPr>
                <w:b/>
                <w:color w:val="4F81BD" w:themeColor="accent1"/>
                <w:sz w:val="24"/>
                <w:szCs w:val="24"/>
                <w:lang w:val="en-US"/>
              </w:rPr>
            </w:pPr>
            <w:r w:rsidRPr="002033A5">
              <w:rPr>
                <w:b/>
                <w:color w:val="4F81BD" w:themeColor="accent1"/>
                <w:sz w:val="24"/>
                <w:szCs w:val="24"/>
                <w:lang w:val="en-US"/>
              </w:rPr>
              <w:t>Name of contact person at UNFPA:</w:t>
            </w:r>
          </w:p>
        </w:tc>
        <w:tc>
          <w:tcPr>
            <w:tcW w:w="5012" w:type="dxa"/>
            <w:shd w:val="clear" w:color="auto" w:fill="auto"/>
            <w:vAlign w:val="center"/>
          </w:tcPr>
          <w:p w14:paraId="0035B562" w14:textId="77777777" w:rsidR="003F151A" w:rsidRPr="002033A5" w:rsidRDefault="00C73F28" w:rsidP="003F151A">
            <w:pPr>
              <w:jc w:val="both"/>
              <w:rPr>
                <w:b/>
                <w:color w:val="4F81BD" w:themeColor="accent1"/>
                <w:sz w:val="24"/>
                <w:szCs w:val="24"/>
                <w:lang w:val="en-US"/>
              </w:rPr>
            </w:pPr>
            <w:r w:rsidRPr="002033A5">
              <w:rPr>
                <w:b/>
                <w:color w:val="4F81BD" w:themeColor="accent1"/>
                <w:sz w:val="24"/>
                <w:szCs w:val="24"/>
                <w:lang w:val="en-US"/>
              </w:rPr>
              <w:t>John Charles</w:t>
            </w:r>
          </w:p>
        </w:tc>
      </w:tr>
      <w:tr w:rsidR="003F151A" w:rsidRPr="002033A5" w14:paraId="2A9F4D10" w14:textId="77777777" w:rsidTr="00622D83">
        <w:trPr>
          <w:jc w:val="center"/>
        </w:trPr>
        <w:tc>
          <w:tcPr>
            <w:tcW w:w="3510" w:type="dxa"/>
            <w:shd w:val="clear" w:color="auto" w:fill="auto"/>
            <w:vAlign w:val="center"/>
          </w:tcPr>
          <w:p w14:paraId="61B756F8" w14:textId="77777777" w:rsidR="003F151A" w:rsidRPr="002033A5" w:rsidRDefault="003F151A" w:rsidP="003F151A">
            <w:pPr>
              <w:jc w:val="both"/>
              <w:rPr>
                <w:rFonts w:eastAsia="Calibri"/>
                <w:b/>
                <w:color w:val="4F81BD" w:themeColor="accent1"/>
                <w:sz w:val="24"/>
                <w:szCs w:val="24"/>
                <w:lang w:val="en-US"/>
              </w:rPr>
            </w:pPr>
            <w:r w:rsidRPr="002033A5">
              <w:rPr>
                <w:rFonts w:eastAsia="Calibri"/>
                <w:b/>
                <w:color w:val="4F81BD" w:themeColor="accent1"/>
                <w:sz w:val="24"/>
                <w:szCs w:val="24"/>
                <w:lang w:val="en-US"/>
              </w:rPr>
              <w:t>Email address of contact person:</w:t>
            </w:r>
          </w:p>
        </w:tc>
        <w:tc>
          <w:tcPr>
            <w:tcW w:w="5012" w:type="dxa"/>
            <w:shd w:val="clear" w:color="auto" w:fill="auto"/>
            <w:vAlign w:val="center"/>
          </w:tcPr>
          <w:p w14:paraId="51905F27" w14:textId="77777777" w:rsidR="003F151A" w:rsidRPr="002033A5" w:rsidRDefault="003F151A" w:rsidP="003F151A">
            <w:pPr>
              <w:jc w:val="both"/>
              <w:rPr>
                <w:b/>
                <w:color w:val="4F81BD" w:themeColor="accent1"/>
                <w:sz w:val="24"/>
                <w:szCs w:val="24"/>
                <w:lang w:val="en-US"/>
              </w:rPr>
            </w:pPr>
            <w:r w:rsidRPr="002033A5">
              <w:rPr>
                <w:b/>
                <w:color w:val="4F81BD" w:themeColor="accent1"/>
                <w:sz w:val="24"/>
                <w:szCs w:val="24"/>
                <w:lang w:val="en-US"/>
              </w:rPr>
              <w:t> </w:t>
            </w:r>
            <w:hyperlink r:id="rId11" w:tgtFrame="_blank" w:history="1">
              <w:r w:rsidRPr="002033A5">
                <w:rPr>
                  <w:b/>
                  <w:color w:val="4F81BD" w:themeColor="accent1"/>
                  <w:sz w:val="24"/>
                  <w:szCs w:val="24"/>
                  <w:lang w:val="en-US"/>
                </w:rPr>
                <w:t>procurement.haiti@unfpa.org</w:t>
              </w:r>
            </w:hyperlink>
            <w:r w:rsidRPr="002033A5">
              <w:rPr>
                <w:b/>
                <w:color w:val="4F81BD" w:themeColor="accent1"/>
                <w:sz w:val="24"/>
                <w:szCs w:val="24"/>
                <w:lang w:val="en-US"/>
              </w:rPr>
              <w:t> </w:t>
            </w:r>
          </w:p>
        </w:tc>
      </w:tr>
    </w:tbl>
    <w:p w14:paraId="3C5C15E3" w14:textId="77777777" w:rsidR="00245983" w:rsidRPr="002033A5" w:rsidRDefault="00245983">
      <w:pPr>
        <w:tabs>
          <w:tab w:val="left" w:pos="6630"/>
          <w:tab w:val="left" w:pos="9120"/>
        </w:tabs>
        <w:rPr>
          <w:rFonts w:eastAsia="Times"/>
          <w:sz w:val="24"/>
          <w:szCs w:val="24"/>
        </w:rPr>
      </w:pPr>
    </w:p>
    <w:p w14:paraId="33C06C59" w14:textId="77777777" w:rsidR="003F151A" w:rsidRPr="002033A5" w:rsidRDefault="003F151A">
      <w:pPr>
        <w:tabs>
          <w:tab w:val="left" w:pos="6630"/>
          <w:tab w:val="left" w:pos="9120"/>
        </w:tabs>
        <w:rPr>
          <w:rFonts w:eastAsia="Times"/>
          <w:sz w:val="24"/>
          <w:szCs w:val="24"/>
        </w:rPr>
      </w:pPr>
    </w:p>
    <w:p w14:paraId="780965B9" w14:textId="77777777" w:rsidR="003F151A" w:rsidRPr="002033A5" w:rsidRDefault="003F151A">
      <w:pPr>
        <w:tabs>
          <w:tab w:val="left" w:pos="6630"/>
          <w:tab w:val="left" w:pos="9120"/>
        </w:tabs>
        <w:rPr>
          <w:rFonts w:eastAsia="Times"/>
          <w:sz w:val="24"/>
          <w:szCs w:val="24"/>
        </w:rPr>
      </w:pPr>
    </w:p>
    <w:p w14:paraId="1B9070C8" w14:textId="77777777" w:rsidR="00245983" w:rsidRPr="002033A5" w:rsidRDefault="00872FCA">
      <w:pPr>
        <w:pStyle w:val="letter"/>
        <w:jc w:val="both"/>
        <w:rPr>
          <w:szCs w:val="24"/>
        </w:rPr>
      </w:pPr>
      <w:r w:rsidRPr="002033A5">
        <w:rPr>
          <w:szCs w:val="24"/>
        </w:rPr>
        <w:t xml:space="preserve">Veuillez prendre connaissance des </w:t>
      </w:r>
      <w:r w:rsidR="00950066" w:rsidRPr="002033A5">
        <w:rPr>
          <w:szCs w:val="24"/>
        </w:rPr>
        <w:t xml:space="preserve">instructions </w:t>
      </w:r>
      <w:r w:rsidRPr="002033A5">
        <w:rPr>
          <w:szCs w:val="24"/>
        </w:rPr>
        <w:t>suivantes pour les soumissions électroniques :</w:t>
      </w:r>
    </w:p>
    <w:p w14:paraId="0F4364D4" w14:textId="21AD3E68" w:rsidR="00245983" w:rsidRPr="002033A5" w:rsidRDefault="00872FCA">
      <w:pPr>
        <w:pStyle w:val="Caption"/>
        <w:numPr>
          <w:ilvl w:val="0"/>
          <w:numId w:val="1"/>
        </w:numPr>
        <w:jc w:val="both"/>
        <w:rPr>
          <w:sz w:val="24"/>
          <w:szCs w:val="24"/>
        </w:rPr>
      </w:pPr>
      <w:r w:rsidRPr="002033A5">
        <w:rPr>
          <w:b w:val="0"/>
          <w:sz w:val="24"/>
          <w:szCs w:val="24"/>
        </w:rPr>
        <w:t xml:space="preserve">La référence suivante doit être incluse dans le champ de l’objet de l’e-mail — </w:t>
      </w:r>
      <w:r w:rsidRPr="002033A5">
        <w:rPr>
          <w:sz w:val="24"/>
          <w:szCs w:val="24"/>
        </w:rPr>
        <w:t>RFQ Nº UNFPA/</w:t>
      </w:r>
      <w:r w:rsidR="004D3AD4" w:rsidRPr="002033A5">
        <w:rPr>
          <w:sz w:val="24"/>
          <w:szCs w:val="24"/>
        </w:rPr>
        <w:t>HTI</w:t>
      </w:r>
      <w:r w:rsidRPr="002033A5">
        <w:rPr>
          <w:sz w:val="24"/>
          <w:szCs w:val="24"/>
        </w:rPr>
        <w:t>/RFQ/</w:t>
      </w:r>
      <w:r w:rsidR="001B0C5B" w:rsidRPr="002033A5">
        <w:rPr>
          <w:sz w:val="24"/>
          <w:szCs w:val="24"/>
        </w:rPr>
        <w:t>23</w:t>
      </w:r>
      <w:r w:rsidRPr="002033A5">
        <w:rPr>
          <w:sz w:val="24"/>
          <w:szCs w:val="24"/>
        </w:rPr>
        <w:t>/</w:t>
      </w:r>
      <w:r w:rsidR="00FF23CE">
        <w:rPr>
          <w:sz w:val="24"/>
          <w:szCs w:val="24"/>
        </w:rPr>
        <w:t>031</w:t>
      </w:r>
      <w:r w:rsidRPr="002033A5">
        <w:rPr>
          <w:sz w:val="24"/>
          <w:szCs w:val="24"/>
        </w:rPr>
        <w:t xml:space="preserve"> –. </w:t>
      </w:r>
      <w:r w:rsidRPr="002033A5">
        <w:rPr>
          <w:b w:val="0"/>
          <w:sz w:val="24"/>
          <w:szCs w:val="24"/>
        </w:rPr>
        <w:t>Les e-mails ne contenant pas l’objet correct pourront ne pas être pris en compte par le fonctionnaire en charge de l’approvisionnement et seront donc ignorés.</w:t>
      </w:r>
    </w:p>
    <w:p w14:paraId="277FC706" w14:textId="77777777" w:rsidR="00245983" w:rsidRPr="002033A5" w:rsidRDefault="00872FCA">
      <w:pPr>
        <w:pStyle w:val="letter"/>
        <w:numPr>
          <w:ilvl w:val="0"/>
          <w:numId w:val="1"/>
        </w:numPr>
        <w:jc w:val="both"/>
        <w:rPr>
          <w:szCs w:val="24"/>
        </w:rPr>
      </w:pPr>
      <w:r w:rsidRPr="002033A5">
        <w:rPr>
          <w:szCs w:val="24"/>
        </w:rPr>
        <w:t xml:space="preserve">La taille totale de l’e-mail ne doit pas excéder </w:t>
      </w:r>
      <w:r w:rsidRPr="002033A5">
        <w:rPr>
          <w:b/>
          <w:szCs w:val="24"/>
        </w:rPr>
        <w:t>20 MB (y compris le</w:t>
      </w:r>
      <w:r w:rsidRPr="002033A5">
        <w:rPr>
          <w:szCs w:val="24"/>
        </w:rPr>
        <w:t xml:space="preserve"> </w:t>
      </w:r>
      <w:r w:rsidRPr="002033A5">
        <w:rPr>
          <w:b/>
          <w:bCs/>
          <w:szCs w:val="24"/>
        </w:rPr>
        <w:t>corps de l’e-mail, les pièces jointes et les en-têtes)</w:t>
      </w:r>
      <w:r w:rsidRPr="002033A5">
        <w:rPr>
          <w:szCs w:val="24"/>
        </w:rPr>
        <w:t xml:space="preserve">. Si les détails techniques sont inclus dans des fichiers électroniques de grande taille, il est recommandé de les envoyer séparément avant la date de clôture.  </w:t>
      </w:r>
    </w:p>
    <w:p w14:paraId="6C02F8E2" w14:textId="77777777" w:rsidR="00245983" w:rsidRPr="002033A5" w:rsidRDefault="00245983">
      <w:pPr>
        <w:jc w:val="both"/>
        <w:rPr>
          <w:sz w:val="24"/>
          <w:szCs w:val="24"/>
        </w:rPr>
      </w:pPr>
    </w:p>
    <w:p w14:paraId="4912EFC9" w14:textId="77777777" w:rsidR="00245983" w:rsidRPr="002033A5" w:rsidRDefault="00872FCA">
      <w:pPr>
        <w:pStyle w:val="ListParagraph"/>
        <w:numPr>
          <w:ilvl w:val="0"/>
          <w:numId w:val="3"/>
        </w:numPr>
        <w:jc w:val="both"/>
        <w:rPr>
          <w:b/>
          <w:sz w:val="24"/>
          <w:szCs w:val="24"/>
        </w:rPr>
      </w:pPr>
      <w:r w:rsidRPr="002033A5">
        <w:rPr>
          <w:b/>
          <w:sz w:val="24"/>
          <w:szCs w:val="24"/>
        </w:rPr>
        <w:t>Vue d’ensemble du processus d’évaluation</w:t>
      </w:r>
    </w:p>
    <w:p w14:paraId="7685CB42" w14:textId="77777777" w:rsidR="00245983" w:rsidRPr="002033A5" w:rsidRDefault="00872FCA">
      <w:pPr>
        <w:jc w:val="both"/>
        <w:rPr>
          <w:sz w:val="24"/>
          <w:szCs w:val="24"/>
        </w:rPr>
      </w:pPr>
      <w:r w:rsidRPr="002033A5">
        <w:rPr>
          <w:sz w:val="24"/>
          <w:szCs w:val="24"/>
        </w:rPr>
        <w:t xml:space="preserve">Les </w:t>
      </w:r>
      <w:r w:rsidR="00950066" w:rsidRPr="002033A5">
        <w:rPr>
          <w:sz w:val="24"/>
          <w:szCs w:val="24"/>
        </w:rPr>
        <w:t xml:space="preserve">Offres </w:t>
      </w:r>
      <w:r w:rsidRPr="002033A5">
        <w:rPr>
          <w:sz w:val="24"/>
          <w:szCs w:val="24"/>
        </w:rPr>
        <w:t xml:space="preserve">seront </w:t>
      </w:r>
      <w:r w:rsidR="00950066" w:rsidRPr="002033A5">
        <w:rPr>
          <w:sz w:val="24"/>
          <w:szCs w:val="24"/>
        </w:rPr>
        <w:t>évaluées</w:t>
      </w:r>
      <w:r w:rsidRPr="002033A5">
        <w:rPr>
          <w:sz w:val="24"/>
          <w:szCs w:val="24"/>
        </w:rPr>
        <w:t xml:space="preserve"> sur la base de la conformité de l’offre technique et du coût total des biens (devis financier).</w:t>
      </w:r>
    </w:p>
    <w:p w14:paraId="05D389A2" w14:textId="77777777" w:rsidR="00BE32C1" w:rsidRPr="002033A5" w:rsidRDefault="00BE32C1">
      <w:pPr>
        <w:jc w:val="both"/>
        <w:rPr>
          <w:sz w:val="24"/>
          <w:szCs w:val="24"/>
        </w:rPr>
      </w:pPr>
    </w:p>
    <w:p w14:paraId="1F53B9A3" w14:textId="77777777" w:rsidR="00BE32C1" w:rsidRPr="002033A5" w:rsidRDefault="00BE32C1" w:rsidP="00BE32C1">
      <w:pPr>
        <w:jc w:val="both"/>
        <w:rPr>
          <w:sz w:val="24"/>
          <w:szCs w:val="24"/>
          <w:lang w:eastAsia="en-GB"/>
        </w:rPr>
      </w:pPr>
      <w:r w:rsidRPr="002033A5">
        <w:rPr>
          <w:sz w:val="24"/>
          <w:szCs w:val="24"/>
          <w:lang w:eastAsia="en-GB"/>
        </w:rPr>
        <w:t>L’évaluation sera réalisée au moyen d’un processus en deux étapes par une commission d’évaluation ad hoc. La conformité des offres techniques sera évaluée avant la comparaison des devis financiers.</w:t>
      </w:r>
    </w:p>
    <w:p w14:paraId="6A055504" w14:textId="77777777" w:rsidR="00BE32C1" w:rsidRPr="002033A5" w:rsidRDefault="00BE32C1">
      <w:pPr>
        <w:jc w:val="both"/>
        <w:rPr>
          <w:sz w:val="24"/>
          <w:szCs w:val="24"/>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99" w:type="dxa"/>
        </w:tblCellMar>
        <w:tblLook w:val="04A0" w:firstRow="1" w:lastRow="0" w:firstColumn="1" w:lastColumn="0" w:noHBand="0" w:noVBand="1"/>
      </w:tblPr>
      <w:tblGrid>
        <w:gridCol w:w="3652"/>
        <w:gridCol w:w="1369"/>
        <w:gridCol w:w="1861"/>
        <w:gridCol w:w="1621"/>
        <w:gridCol w:w="1820"/>
      </w:tblGrid>
      <w:tr w:rsidR="00BE32C1" w:rsidRPr="002033A5" w14:paraId="3FC4BF9E"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99B5A22" w14:textId="77777777" w:rsidR="00BE32C1" w:rsidRPr="002033A5" w:rsidRDefault="00BE32C1">
            <w:pPr>
              <w:spacing w:line="276" w:lineRule="auto"/>
              <w:jc w:val="center"/>
              <w:rPr>
                <w:b/>
                <w:sz w:val="24"/>
                <w:szCs w:val="24"/>
              </w:rPr>
            </w:pPr>
            <w:r w:rsidRPr="002033A5">
              <w:rPr>
                <w:b/>
                <w:color w:val="FFFFFF" w:themeColor="background1"/>
                <w:sz w:val="24"/>
                <w:szCs w:val="24"/>
              </w:rPr>
              <w:lastRenderedPageBreak/>
              <w:t>Critères</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7DDC8D6"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[A] Maximum de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26E5E3B"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[B]</w:t>
            </w:r>
          </w:p>
          <w:p w14:paraId="3F21E8E2"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Points obtenus par le soumissionnaire</w:t>
            </w:r>
          </w:p>
        </w:tc>
        <w:tc>
          <w:tcPr>
            <w:tcW w:w="16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EFEBB7"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[C] Pondération (%)</w:t>
            </w:r>
          </w:p>
        </w:tc>
        <w:tc>
          <w:tcPr>
            <w:tcW w:w="195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9327525" w14:textId="77777777" w:rsidR="00BE32C1" w:rsidRPr="002033A5" w:rsidRDefault="00BE32C1">
            <w:pPr>
              <w:pStyle w:val="Figure1"/>
              <w:spacing w:line="276" w:lineRule="auto"/>
              <w:rPr>
                <w:rFonts w:ascii="Times New Roman" w:hAnsi="Times New Roman"/>
                <w:i w:val="0"/>
                <w:sz w:val="24"/>
                <w:szCs w:val="24"/>
              </w:rPr>
            </w:pPr>
            <w:r w:rsidRPr="002033A5">
              <w:rPr>
                <w:rFonts w:ascii="Times New Roman" w:hAnsi="Times New Roman"/>
                <w:i w:val="0"/>
                <w:sz w:val="24"/>
                <w:szCs w:val="24"/>
              </w:rPr>
              <w:t>[B] x [C] = [D] Total des points</w:t>
            </w:r>
          </w:p>
        </w:tc>
      </w:tr>
      <w:tr w:rsidR="00BE32C1" w:rsidRPr="002033A5" w14:paraId="520905C7"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9F7EC8F"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Approche technique et méthodologie, compréhension de la nature et de l’étendue des services</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73B13D3"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0745274"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98C0CF3"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25 %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4CD993D4"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1728CA7B"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3F2F945C"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 xml:space="preserve">Plan de mise en œuvre et plan de gestion </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F5B6AEF"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112220AE"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54C5C1F"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D76F1D8"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31C147B2"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2EC9073" w14:textId="77777777" w:rsidR="00BE32C1" w:rsidRPr="002033A5" w:rsidRDefault="00BE32C1" w:rsidP="00BE32C1">
            <w:pPr>
              <w:pStyle w:val="Figure1"/>
              <w:numPr>
                <w:ilvl w:val="0"/>
                <w:numId w:val="12"/>
              </w:numPr>
              <w:spacing w:line="276" w:lineRule="auto"/>
              <w:jc w:val="left"/>
              <w:rPr>
                <w:rFonts w:ascii="Times New Roman" w:hAnsi="Times New Roman"/>
                <w:b w:val="0"/>
                <w:i w:val="0"/>
                <w:color w:val="000000"/>
                <w:sz w:val="24"/>
                <w:szCs w:val="24"/>
              </w:rPr>
            </w:pPr>
            <w:r w:rsidRPr="002033A5">
              <w:rPr>
                <w:rFonts w:ascii="Times New Roman" w:hAnsi="Times New Roman"/>
                <w:b w:val="0"/>
                <w:i w:val="0"/>
                <w:color w:val="000000"/>
                <w:sz w:val="24"/>
                <w:szCs w:val="24"/>
              </w:rPr>
              <w:t>Expérience spécifique et expertise pertinente en lien avec la tâche à réaliser</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186E555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BCD6C22"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2BA39A7"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15 %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D42ABAF"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7D24835E"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5EE83986" w14:textId="77777777" w:rsidR="00BE32C1" w:rsidRPr="002033A5" w:rsidRDefault="00BE32C1" w:rsidP="00BE32C1">
            <w:pPr>
              <w:pStyle w:val="ListParagraph"/>
              <w:numPr>
                <w:ilvl w:val="0"/>
                <w:numId w:val="12"/>
              </w:numPr>
              <w:overflowPunct w:val="0"/>
              <w:spacing w:before="60" w:after="60" w:line="276" w:lineRule="auto"/>
              <w:textAlignment w:val="auto"/>
              <w:rPr>
                <w:color w:val="000000"/>
                <w:sz w:val="24"/>
                <w:szCs w:val="24"/>
              </w:rPr>
            </w:pPr>
            <w:r w:rsidRPr="002033A5">
              <w:rPr>
                <w:color w:val="000000"/>
                <w:sz w:val="24"/>
                <w:szCs w:val="24"/>
              </w:rPr>
              <w:t>Satisfaction du client et programme de qualité de la société</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0DF3BCE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AA36B25"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4A525A3C"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45C89EF"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76ACA01D" w14:textId="77777777" w:rsidTr="00BE32C1">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7CD09C6A" w14:textId="77777777" w:rsidR="00BE32C1" w:rsidRPr="002033A5" w:rsidRDefault="00BE32C1" w:rsidP="00BE32C1">
            <w:pPr>
              <w:pStyle w:val="ListParagraph"/>
              <w:numPr>
                <w:ilvl w:val="0"/>
                <w:numId w:val="12"/>
              </w:numPr>
              <w:overflowPunct w:val="0"/>
              <w:spacing w:before="60" w:after="60" w:line="276" w:lineRule="auto"/>
              <w:textAlignment w:val="auto"/>
              <w:rPr>
                <w:color w:val="000000"/>
                <w:sz w:val="24"/>
                <w:szCs w:val="24"/>
              </w:rPr>
            </w:pPr>
            <w:r w:rsidRPr="002033A5">
              <w:rPr>
                <w:color w:val="000000"/>
                <w:sz w:val="24"/>
                <w:szCs w:val="24"/>
              </w:rPr>
              <w:t>Organisation et effectifs</w:t>
            </w:r>
          </w:p>
        </w:tc>
        <w:tc>
          <w:tcPr>
            <w:tcW w:w="1382"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A0D84AB"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3A77F32" w14:textId="77777777" w:rsidR="00BE32C1" w:rsidRPr="002033A5" w:rsidRDefault="00BE32C1">
            <w:pPr>
              <w:pStyle w:val="Figure1"/>
              <w:spacing w:line="276" w:lineRule="auto"/>
              <w:rPr>
                <w:rFonts w:ascii="Times New Roman" w:hAnsi="Times New Roman"/>
                <w:b w:val="0"/>
                <w:i w:val="0"/>
                <w:color w:val="000000"/>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14:paraId="6BC76A4B" w14:textId="77777777" w:rsidR="00BE32C1" w:rsidRPr="002033A5" w:rsidRDefault="00BE32C1">
            <w:pPr>
              <w:pStyle w:val="Figure1"/>
              <w:spacing w:line="276" w:lineRule="auto"/>
              <w:rPr>
                <w:rFonts w:ascii="Times New Roman" w:hAnsi="Times New Roman"/>
                <w:b w:val="0"/>
                <w:i w:val="0"/>
                <w:color w:val="000000"/>
                <w:sz w:val="24"/>
                <w:szCs w:val="24"/>
              </w:rPr>
            </w:pPr>
            <w:r w:rsidRPr="002033A5">
              <w:rPr>
                <w:rFonts w:ascii="Times New Roman" w:hAnsi="Times New Roman"/>
                <w:b w:val="0"/>
                <w:i w:val="0"/>
                <w:color w:val="000000"/>
                <w:sz w:val="24"/>
                <w:szCs w:val="24"/>
              </w:rPr>
              <w:t>20 %</w:t>
            </w:r>
          </w:p>
        </w:tc>
        <w:tc>
          <w:tcPr>
            <w:tcW w:w="1953"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C45A3E0" w14:textId="77777777" w:rsidR="00BE32C1" w:rsidRPr="002033A5" w:rsidRDefault="00BE32C1">
            <w:pPr>
              <w:pStyle w:val="Figure1"/>
              <w:spacing w:line="276" w:lineRule="auto"/>
              <w:rPr>
                <w:rFonts w:ascii="Times New Roman" w:hAnsi="Times New Roman"/>
                <w:b w:val="0"/>
                <w:i w:val="0"/>
                <w:color w:val="000000"/>
                <w:sz w:val="24"/>
                <w:szCs w:val="24"/>
              </w:rPr>
            </w:pPr>
          </w:p>
        </w:tc>
      </w:tr>
      <w:tr w:rsidR="00BE32C1" w:rsidRPr="002033A5" w14:paraId="39C8C5FC" w14:textId="77777777" w:rsidTr="00BE32C1">
        <w:trPr>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7876D46" w14:textId="77777777" w:rsidR="00BE32C1" w:rsidRPr="002033A5" w:rsidRDefault="00BE32C1">
            <w:pPr>
              <w:spacing w:before="60" w:after="60" w:line="276" w:lineRule="auto"/>
              <w:jc w:val="right"/>
              <w:rPr>
                <w:color w:val="00000A"/>
                <w:sz w:val="24"/>
                <w:szCs w:val="24"/>
              </w:rPr>
            </w:pPr>
            <w:r w:rsidRPr="002033A5">
              <w:rPr>
                <w:sz w:val="24"/>
                <w:szCs w:val="24"/>
              </w:rPr>
              <w:t>GRAND TOTAL DE TOUS LES CRITÈRES</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177F046" w14:textId="77777777" w:rsidR="00BE32C1" w:rsidRPr="002033A5" w:rsidRDefault="00BE32C1">
            <w:pPr>
              <w:spacing w:before="60" w:after="60" w:line="276" w:lineRule="auto"/>
              <w:jc w:val="center"/>
              <w:rPr>
                <w:sz w:val="24"/>
                <w:szCs w:val="24"/>
              </w:rPr>
            </w:pPr>
            <w:r w:rsidRPr="002033A5">
              <w:rPr>
                <w:sz w:val="24"/>
                <w:szCs w:val="24"/>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14958BC" w14:textId="77777777" w:rsidR="00BE32C1" w:rsidRPr="002033A5" w:rsidRDefault="00BE32C1">
            <w:pPr>
              <w:spacing w:before="60" w:after="60" w:line="276" w:lineRule="auto"/>
              <w:jc w:val="center"/>
              <w:rPr>
                <w:sz w:val="24"/>
                <w:szCs w:val="24"/>
              </w:rPr>
            </w:pPr>
          </w:p>
        </w:tc>
        <w:tc>
          <w:tcPr>
            <w:tcW w:w="16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5DE240D" w14:textId="77777777" w:rsidR="00BE32C1" w:rsidRPr="002033A5" w:rsidRDefault="00BE32C1">
            <w:pPr>
              <w:spacing w:before="60" w:after="60" w:line="276" w:lineRule="auto"/>
              <w:jc w:val="center"/>
              <w:rPr>
                <w:sz w:val="24"/>
                <w:szCs w:val="24"/>
              </w:rPr>
            </w:pPr>
            <w:r w:rsidRPr="002033A5">
              <w:rPr>
                <w:sz w:val="24"/>
                <w:szCs w:val="24"/>
              </w:rPr>
              <w:t>100 %</w:t>
            </w:r>
          </w:p>
        </w:tc>
        <w:tc>
          <w:tcPr>
            <w:tcW w:w="195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619E090" w14:textId="77777777" w:rsidR="00BE32C1" w:rsidRPr="002033A5" w:rsidRDefault="00BE32C1">
            <w:pPr>
              <w:spacing w:before="60" w:after="60" w:line="276" w:lineRule="auto"/>
              <w:jc w:val="center"/>
              <w:rPr>
                <w:sz w:val="24"/>
                <w:szCs w:val="24"/>
              </w:rPr>
            </w:pPr>
          </w:p>
        </w:tc>
      </w:tr>
    </w:tbl>
    <w:p w14:paraId="66602DEF" w14:textId="77777777" w:rsidR="00245983" w:rsidRPr="002033A5" w:rsidRDefault="00245983">
      <w:pPr>
        <w:jc w:val="both"/>
        <w:rPr>
          <w:sz w:val="24"/>
          <w:szCs w:val="24"/>
          <w:lang w:eastAsia="en-GB"/>
        </w:rPr>
      </w:pPr>
    </w:p>
    <w:p w14:paraId="12CF1E6A" w14:textId="77777777" w:rsidR="00BE32C1" w:rsidRPr="002033A5" w:rsidRDefault="00BE32C1" w:rsidP="00BE32C1">
      <w:pPr>
        <w:tabs>
          <w:tab w:val="left" w:pos="851"/>
        </w:tabs>
        <w:spacing w:line="276" w:lineRule="auto"/>
        <w:contextualSpacing/>
        <w:jc w:val="both"/>
        <w:rPr>
          <w:sz w:val="24"/>
          <w:szCs w:val="24"/>
        </w:rPr>
      </w:pPr>
      <w:r w:rsidRPr="002033A5">
        <w:rPr>
          <w:sz w:val="24"/>
          <w:szCs w:val="24"/>
        </w:rPr>
        <w:t>Grille de notation</w:t>
      </w:r>
    </w:p>
    <w:p w14:paraId="2ECE9443" w14:textId="77777777" w:rsidR="00BE32C1" w:rsidRPr="002033A5" w:rsidRDefault="00BE32C1" w:rsidP="00BE32C1">
      <w:pPr>
        <w:tabs>
          <w:tab w:val="left" w:pos="851"/>
        </w:tabs>
        <w:spacing w:line="276" w:lineRule="auto"/>
        <w:contextualSpacing/>
        <w:jc w:val="both"/>
        <w:rPr>
          <w:sz w:val="24"/>
          <w:szCs w:val="24"/>
        </w:rPr>
      </w:pPr>
    </w:p>
    <w:p w14:paraId="461A9A51" w14:textId="77777777" w:rsidR="00BE32C1" w:rsidRPr="002033A5" w:rsidRDefault="00BE32C1" w:rsidP="00BE32C1">
      <w:pPr>
        <w:tabs>
          <w:tab w:val="left" w:pos="851"/>
        </w:tabs>
        <w:spacing w:line="276" w:lineRule="auto"/>
        <w:contextualSpacing/>
        <w:jc w:val="both"/>
        <w:rPr>
          <w:sz w:val="24"/>
          <w:szCs w:val="24"/>
        </w:rPr>
      </w:pPr>
      <w:r w:rsidRPr="002033A5">
        <w:rPr>
          <w:sz w:val="24"/>
          <w:szCs w:val="24"/>
        </w:rPr>
        <w:t xml:space="preserve">La grille de notation suivante sera utilisée par la commission d’évaluation technique pour réaliser l’évaluation technique de manière objective. </w:t>
      </w:r>
    </w:p>
    <w:p w14:paraId="059EF650" w14:textId="77777777" w:rsidR="00BE32C1" w:rsidRPr="002033A5" w:rsidRDefault="00BE32C1" w:rsidP="00BE32C1">
      <w:pPr>
        <w:pStyle w:val="ListParagraph"/>
        <w:tabs>
          <w:tab w:val="left" w:pos="851"/>
        </w:tabs>
        <w:spacing w:line="276" w:lineRule="auto"/>
        <w:ind w:left="1418"/>
        <w:contextualSpacing/>
        <w:jc w:val="both"/>
        <w:rPr>
          <w:sz w:val="24"/>
          <w:szCs w:val="24"/>
        </w:rPr>
      </w:pPr>
    </w:p>
    <w:tbl>
      <w:tblPr>
        <w:tblW w:w="8550" w:type="dxa"/>
        <w:tblInd w:w="-8" w:type="dxa"/>
        <w:tblBorders>
          <w:top w:val="single" w:sz="6" w:space="0" w:color="000080"/>
          <w:left w:val="single" w:sz="6" w:space="0" w:color="000080"/>
          <w:bottom w:val="single" w:sz="6" w:space="0" w:color="000080"/>
          <w:insideH w:val="single" w:sz="6" w:space="0" w:color="000080"/>
        </w:tblBorders>
        <w:tblCellMar>
          <w:left w:w="92" w:type="dxa"/>
        </w:tblCellMar>
        <w:tblLook w:val="04A0" w:firstRow="1" w:lastRow="0" w:firstColumn="1" w:lastColumn="0" w:noHBand="0" w:noVBand="1"/>
      </w:tblPr>
      <w:tblGrid>
        <w:gridCol w:w="6504"/>
        <w:gridCol w:w="2046"/>
      </w:tblGrid>
      <w:tr w:rsidR="00BE32C1" w:rsidRPr="002033A5" w14:paraId="02E9160E" w14:textId="77777777" w:rsidTr="00BE32C1">
        <w:tc>
          <w:tcPr>
            <w:tcW w:w="6504" w:type="dxa"/>
            <w:tcBorders>
              <w:top w:val="single" w:sz="6" w:space="0" w:color="000080"/>
              <w:left w:val="single" w:sz="6" w:space="0" w:color="000080"/>
              <w:bottom w:val="single" w:sz="6" w:space="0" w:color="000080"/>
              <w:right w:val="nil"/>
            </w:tcBorders>
            <w:shd w:val="clear" w:color="auto" w:fill="000080"/>
            <w:vAlign w:val="center"/>
            <w:hideMark/>
          </w:tcPr>
          <w:p w14:paraId="3E5C0938" w14:textId="77777777" w:rsidR="00BE32C1" w:rsidRPr="002033A5" w:rsidRDefault="00BE32C1">
            <w:pPr>
              <w:spacing w:line="276" w:lineRule="auto"/>
              <w:jc w:val="center"/>
              <w:rPr>
                <w:b/>
                <w:sz w:val="24"/>
                <w:szCs w:val="24"/>
              </w:rPr>
            </w:pPr>
            <w:r w:rsidRPr="002033A5">
              <w:rPr>
                <w:b/>
                <w:color w:val="FFFFFF" w:themeColor="background1"/>
                <w:sz w:val="24"/>
                <w:szCs w:val="24"/>
              </w:rPr>
              <w:t>Respect des spécifications du cahier des charges sur la base des preuves fournies dans la soumission</w:t>
            </w:r>
          </w:p>
        </w:tc>
        <w:tc>
          <w:tcPr>
            <w:tcW w:w="2046" w:type="dxa"/>
            <w:tcBorders>
              <w:top w:val="single" w:sz="6" w:space="0" w:color="000080"/>
              <w:left w:val="single" w:sz="6" w:space="0" w:color="000080"/>
              <w:bottom w:val="single" w:sz="6" w:space="0" w:color="000080"/>
              <w:right w:val="single" w:sz="6" w:space="0" w:color="000080"/>
            </w:tcBorders>
            <w:shd w:val="clear" w:color="auto" w:fill="000080"/>
            <w:tcMar>
              <w:top w:w="0" w:type="dxa"/>
              <w:left w:w="99" w:type="dxa"/>
              <w:bottom w:w="0" w:type="dxa"/>
              <w:right w:w="108" w:type="dxa"/>
            </w:tcMar>
            <w:vAlign w:val="center"/>
            <w:hideMark/>
          </w:tcPr>
          <w:p w14:paraId="6BDA7EFC" w14:textId="77777777" w:rsidR="00BE32C1" w:rsidRPr="002033A5" w:rsidRDefault="00BE32C1">
            <w:pPr>
              <w:spacing w:line="276" w:lineRule="auto"/>
              <w:jc w:val="center"/>
              <w:rPr>
                <w:b/>
                <w:color w:val="FFFFFF" w:themeColor="background1"/>
                <w:sz w:val="24"/>
                <w:szCs w:val="24"/>
              </w:rPr>
            </w:pPr>
            <w:r w:rsidRPr="002033A5">
              <w:rPr>
                <w:b/>
                <w:color w:val="FFFFFF" w:themeColor="background1"/>
                <w:sz w:val="24"/>
                <w:szCs w:val="24"/>
              </w:rPr>
              <w:t xml:space="preserve">Points </w:t>
            </w:r>
          </w:p>
          <w:p w14:paraId="38467AFD" w14:textId="77777777" w:rsidR="00BE32C1" w:rsidRPr="002033A5" w:rsidRDefault="00BE32C1">
            <w:pPr>
              <w:spacing w:line="276" w:lineRule="auto"/>
              <w:jc w:val="center"/>
              <w:rPr>
                <w:b/>
                <w:color w:val="00000A"/>
                <w:sz w:val="24"/>
                <w:szCs w:val="24"/>
              </w:rPr>
            </w:pPr>
            <w:r w:rsidRPr="002033A5">
              <w:rPr>
                <w:b/>
                <w:color w:val="FFFFFF" w:themeColor="background1"/>
                <w:sz w:val="24"/>
                <w:szCs w:val="24"/>
              </w:rPr>
              <w:t>Sur 100</w:t>
            </w:r>
          </w:p>
        </w:tc>
      </w:tr>
      <w:tr w:rsidR="00BE32C1" w:rsidRPr="002033A5" w14:paraId="782A0029" w14:textId="77777777" w:rsidTr="00BE32C1">
        <w:trPr>
          <w:trHeight w:val="395"/>
        </w:trPr>
        <w:tc>
          <w:tcPr>
            <w:tcW w:w="6504"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42FFB7E8" w14:textId="77777777" w:rsidR="00BE32C1" w:rsidRPr="002033A5" w:rsidRDefault="00BE32C1">
            <w:pPr>
              <w:spacing w:line="276" w:lineRule="auto"/>
              <w:rPr>
                <w:sz w:val="24"/>
                <w:szCs w:val="24"/>
              </w:rPr>
            </w:pPr>
            <w:r w:rsidRPr="002033A5">
              <w:rPr>
                <w:sz w:val="24"/>
                <w:szCs w:val="24"/>
              </w:rPr>
              <w:t>Dépassement significatif des exigences</w:t>
            </w:r>
          </w:p>
        </w:tc>
        <w:tc>
          <w:tcPr>
            <w:tcW w:w="2046"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73F0830" w14:textId="77777777" w:rsidR="00BE32C1" w:rsidRPr="002033A5" w:rsidRDefault="00BE32C1">
            <w:pPr>
              <w:spacing w:line="276" w:lineRule="auto"/>
              <w:jc w:val="center"/>
              <w:rPr>
                <w:sz w:val="24"/>
                <w:szCs w:val="24"/>
              </w:rPr>
            </w:pPr>
            <w:r w:rsidRPr="002033A5">
              <w:rPr>
                <w:sz w:val="24"/>
                <w:szCs w:val="24"/>
              </w:rPr>
              <w:t>90 – 100</w:t>
            </w:r>
          </w:p>
        </w:tc>
      </w:tr>
      <w:tr w:rsidR="00BE32C1" w:rsidRPr="002033A5" w14:paraId="03DF16AF" w14:textId="77777777" w:rsidTr="00BE32C1">
        <w:trPr>
          <w:trHeight w:val="548"/>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7E552638" w14:textId="77777777" w:rsidR="00BE32C1" w:rsidRPr="002033A5" w:rsidRDefault="00BE32C1">
            <w:pPr>
              <w:spacing w:line="276" w:lineRule="auto"/>
              <w:rPr>
                <w:sz w:val="24"/>
                <w:szCs w:val="24"/>
              </w:rPr>
            </w:pPr>
            <w:r w:rsidRPr="002033A5">
              <w:rPr>
                <w:sz w:val="24"/>
                <w:szCs w:val="24"/>
              </w:rPr>
              <w:t>Dépassement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3A81FF7" w14:textId="77777777" w:rsidR="00BE32C1" w:rsidRPr="002033A5" w:rsidRDefault="00BE32C1">
            <w:pPr>
              <w:spacing w:line="276" w:lineRule="auto"/>
              <w:jc w:val="center"/>
              <w:rPr>
                <w:sz w:val="24"/>
                <w:szCs w:val="24"/>
              </w:rPr>
            </w:pPr>
            <w:r w:rsidRPr="002033A5">
              <w:rPr>
                <w:sz w:val="24"/>
                <w:szCs w:val="24"/>
              </w:rPr>
              <w:t xml:space="preserve">80 – 89 </w:t>
            </w:r>
          </w:p>
        </w:tc>
      </w:tr>
      <w:tr w:rsidR="00BE32C1" w:rsidRPr="002033A5" w14:paraId="37F793B0" w14:textId="77777777" w:rsidTr="00BE32C1">
        <w:trPr>
          <w:trHeight w:val="50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075E3C9" w14:textId="77777777" w:rsidR="00BE32C1" w:rsidRPr="002033A5" w:rsidRDefault="00BE32C1">
            <w:pPr>
              <w:spacing w:line="276" w:lineRule="auto"/>
              <w:rPr>
                <w:sz w:val="24"/>
                <w:szCs w:val="24"/>
              </w:rPr>
            </w:pPr>
            <w:r w:rsidRPr="002033A5">
              <w:rPr>
                <w:sz w:val="24"/>
                <w:szCs w:val="24"/>
              </w:rPr>
              <w:t>Respect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5B04FF0" w14:textId="77777777" w:rsidR="00BE32C1" w:rsidRPr="002033A5" w:rsidRDefault="00BE32C1">
            <w:pPr>
              <w:spacing w:line="276" w:lineRule="auto"/>
              <w:jc w:val="center"/>
              <w:rPr>
                <w:sz w:val="24"/>
                <w:szCs w:val="24"/>
              </w:rPr>
            </w:pPr>
            <w:r w:rsidRPr="002033A5">
              <w:rPr>
                <w:sz w:val="24"/>
                <w:szCs w:val="24"/>
              </w:rPr>
              <w:t>70 – 79</w:t>
            </w:r>
          </w:p>
        </w:tc>
      </w:tr>
      <w:tr w:rsidR="00BE32C1" w:rsidRPr="002033A5" w14:paraId="243AC21E" w14:textId="77777777" w:rsidTr="00BE32C1">
        <w:trPr>
          <w:trHeight w:val="476"/>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FE99730" w14:textId="77777777" w:rsidR="00BE32C1" w:rsidRPr="002033A5" w:rsidRDefault="00BE32C1">
            <w:pPr>
              <w:spacing w:line="276" w:lineRule="auto"/>
              <w:rPr>
                <w:sz w:val="24"/>
                <w:szCs w:val="24"/>
              </w:rPr>
            </w:pPr>
            <w:r w:rsidRPr="002033A5">
              <w:rPr>
                <w:sz w:val="24"/>
                <w:szCs w:val="24"/>
              </w:rPr>
              <w:t>Respect partiel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2F59D485" w14:textId="77777777" w:rsidR="00BE32C1" w:rsidRPr="002033A5" w:rsidRDefault="00BE32C1">
            <w:pPr>
              <w:spacing w:line="276" w:lineRule="auto"/>
              <w:jc w:val="center"/>
              <w:rPr>
                <w:sz w:val="24"/>
                <w:szCs w:val="24"/>
              </w:rPr>
            </w:pPr>
            <w:r w:rsidRPr="002033A5">
              <w:rPr>
                <w:sz w:val="24"/>
                <w:szCs w:val="24"/>
              </w:rPr>
              <w:t>1 –  69</w:t>
            </w:r>
          </w:p>
        </w:tc>
      </w:tr>
      <w:tr w:rsidR="00BE32C1" w:rsidRPr="002033A5" w14:paraId="3D4B37C8" w14:textId="77777777" w:rsidTr="00BE32C1">
        <w:trPr>
          <w:trHeight w:hRule="exact" w:val="61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7D35BD88" w14:textId="77777777" w:rsidR="00BE32C1" w:rsidRPr="002033A5" w:rsidRDefault="00BE32C1">
            <w:pPr>
              <w:spacing w:line="276" w:lineRule="auto"/>
              <w:rPr>
                <w:sz w:val="24"/>
                <w:szCs w:val="24"/>
              </w:rPr>
            </w:pPr>
            <w:r w:rsidRPr="002033A5">
              <w:rPr>
                <w:sz w:val="24"/>
                <w:szCs w:val="24"/>
              </w:rPr>
              <w:t>Non-respect des exigences ou informations servant à l’évaluation du respect des exigences</w:t>
            </w:r>
          </w:p>
          <w:p w14:paraId="11B4F2EF" w14:textId="77777777" w:rsidR="00BE32C1" w:rsidRPr="002033A5" w:rsidRDefault="00BE32C1">
            <w:pPr>
              <w:spacing w:line="276" w:lineRule="auto"/>
              <w:rPr>
                <w:sz w:val="24"/>
                <w:szCs w:val="24"/>
              </w:rPr>
            </w:pPr>
            <w:r w:rsidRPr="002033A5">
              <w:rPr>
                <w:sz w:val="24"/>
                <w:szCs w:val="24"/>
              </w:rPr>
              <w:t>non communiquées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14:paraId="65D87D49" w14:textId="77777777" w:rsidR="00BE32C1" w:rsidRPr="002033A5" w:rsidRDefault="00BE32C1">
            <w:pPr>
              <w:spacing w:line="276" w:lineRule="auto"/>
              <w:jc w:val="center"/>
              <w:rPr>
                <w:sz w:val="24"/>
                <w:szCs w:val="24"/>
              </w:rPr>
            </w:pPr>
            <w:r w:rsidRPr="002033A5">
              <w:rPr>
                <w:sz w:val="24"/>
                <w:szCs w:val="24"/>
              </w:rPr>
              <w:t>0</w:t>
            </w:r>
          </w:p>
        </w:tc>
      </w:tr>
    </w:tbl>
    <w:p w14:paraId="09A7BA78" w14:textId="77777777" w:rsidR="00BE32C1" w:rsidRPr="002033A5" w:rsidRDefault="00BE32C1">
      <w:pPr>
        <w:jc w:val="both"/>
        <w:rPr>
          <w:sz w:val="24"/>
          <w:szCs w:val="24"/>
          <w:lang w:eastAsia="en-GB"/>
        </w:rPr>
      </w:pPr>
    </w:p>
    <w:p w14:paraId="02A933A9" w14:textId="77777777" w:rsidR="004302B5" w:rsidRPr="002033A5" w:rsidRDefault="004302B5" w:rsidP="004302B5">
      <w:pPr>
        <w:pStyle w:val="Titre2"/>
        <w:numPr>
          <w:ilvl w:val="0"/>
          <w:numId w:val="0"/>
        </w:numPr>
        <w:rPr>
          <w:rFonts w:ascii="Times New Roman" w:hAnsi="Times New Roman" w:cs="Times New Roman"/>
          <w:color w:val="FF0000"/>
          <w:sz w:val="24"/>
          <w:szCs w:val="24"/>
        </w:rPr>
      </w:pPr>
      <w:bookmarkStart w:id="1" w:name="_Toc419381633"/>
      <w:r w:rsidRPr="002033A5">
        <w:rPr>
          <w:rFonts w:ascii="Times New Roman" w:hAnsi="Times New Roman" w:cs="Times New Roman"/>
          <w:color w:val="auto"/>
          <w:sz w:val="24"/>
          <w:szCs w:val="24"/>
        </w:rPr>
        <w:lastRenderedPageBreak/>
        <w:t xml:space="preserve">Évaluation financière </w:t>
      </w:r>
      <w:bookmarkEnd w:id="1"/>
    </w:p>
    <w:p w14:paraId="302F985D" w14:textId="77777777" w:rsidR="004302B5" w:rsidRPr="002033A5" w:rsidRDefault="004302B5" w:rsidP="004302B5">
      <w:pPr>
        <w:rPr>
          <w:sz w:val="24"/>
          <w:szCs w:val="24"/>
          <w:lang w:eastAsia="en-GB"/>
        </w:rPr>
      </w:pPr>
    </w:p>
    <w:p w14:paraId="2CF4E395" w14:textId="77777777" w:rsidR="004302B5" w:rsidRPr="002033A5" w:rsidRDefault="004302B5" w:rsidP="004302B5">
      <w:pPr>
        <w:tabs>
          <w:tab w:val="left" w:pos="851"/>
        </w:tabs>
        <w:spacing w:line="276" w:lineRule="auto"/>
        <w:contextualSpacing/>
        <w:jc w:val="both"/>
        <w:rPr>
          <w:sz w:val="24"/>
          <w:szCs w:val="24"/>
        </w:rPr>
      </w:pPr>
      <w:r w:rsidRPr="002033A5">
        <w:rPr>
          <w:sz w:val="24"/>
          <w:szCs w:val="24"/>
        </w:rPr>
        <w:t>L’évaluation financière ne sera effectuée que si l’offre technique atteint le score minimum</w:t>
      </w:r>
      <w:r w:rsidRPr="002033A5">
        <w:rPr>
          <w:i/>
          <w:sz w:val="24"/>
          <w:szCs w:val="24"/>
        </w:rPr>
        <w:t xml:space="preserve"> </w:t>
      </w:r>
      <w:r w:rsidRPr="002033A5">
        <w:rPr>
          <w:sz w:val="24"/>
          <w:szCs w:val="24"/>
        </w:rPr>
        <w:t>70 points. Les offres n’atteignant pas ce seuil technique minimum ou les offres non qualifiées par le processus de qualification du fournisseur ne seront pas retenues pour le reste de la procédure d’évaluation.</w:t>
      </w:r>
    </w:p>
    <w:p w14:paraId="49CB93A9" w14:textId="77777777" w:rsidR="004302B5" w:rsidRPr="002033A5" w:rsidRDefault="004302B5" w:rsidP="004302B5">
      <w:pPr>
        <w:rPr>
          <w:sz w:val="24"/>
          <w:szCs w:val="24"/>
          <w:lang w:eastAsia="en-GB"/>
        </w:rPr>
      </w:pPr>
    </w:p>
    <w:p w14:paraId="21EC8DA4" w14:textId="77777777" w:rsidR="004302B5" w:rsidRPr="002033A5" w:rsidRDefault="004302B5" w:rsidP="004302B5">
      <w:pPr>
        <w:rPr>
          <w:sz w:val="24"/>
          <w:szCs w:val="24"/>
          <w:lang w:eastAsia="en-GB"/>
        </w:rPr>
      </w:pPr>
    </w:p>
    <w:p w14:paraId="0B029EDA" w14:textId="77777777" w:rsidR="004302B5" w:rsidRPr="002033A5" w:rsidRDefault="004302B5" w:rsidP="004302B5">
      <w:pPr>
        <w:rPr>
          <w:sz w:val="24"/>
          <w:szCs w:val="24"/>
          <w:lang w:eastAsia="en-GB"/>
        </w:rPr>
      </w:pPr>
      <w:r w:rsidRPr="002033A5">
        <w:rPr>
          <w:sz w:val="24"/>
          <w:szCs w:val="24"/>
          <w:lang w:eastAsia="en-GB"/>
        </w:rPr>
        <w:t>Les offres de prix seront évaluées uniquement pour les soumissionnaires dont les propositions techniques obtiennent une note minimale de 70 points dans l'évaluation technique. Le mot de passe du fichier de proposition financière sera demandé à la fin de l'évaluation de la proposition technique et uniquement pour les soumissionnaires ayant réussi la phase technique.</w:t>
      </w:r>
    </w:p>
    <w:p w14:paraId="7E94D59A" w14:textId="77777777" w:rsidR="004302B5" w:rsidRPr="002033A5" w:rsidRDefault="004302B5" w:rsidP="004302B5">
      <w:pPr>
        <w:rPr>
          <w:sz w:val="24"/>
          <w:szCs w:val="24"/>
          <w:lang w:eastAsia="en-GB"/>
        </w:rPr>
      </w:pPr>
    </w:p>
    <w:p w14:paraId="2ED36EEE" w14:textId="77777777" w:rsidR="004302B5" w:rsidRPr="002033A5" w:rsidRDefault="004302B5" w:rsidP="004302B5">
      <w:pPr>
        <w:rPr>
          <w:sz w:val="24"/>
          <w:szCs w:val="24"/>
          <w:lang w:eastAsia="en-GB"/>
        </w:rPr>
      </w:pPr>
    </w:p>
    <w:p w14:paraId="00536F37" w14:textId="77777777" w:rsidR="004302B5" w:rsidRPr="002033A5" w:rsidRDefault="004302B5" w:rsidP="004302B5">
      <w:pPr>
        <w:rPr>
          <w:sz w:val="24"/>
          <w:szCs w:val="24"/>
          <w:lang w:eastAsia="en-GB"/>
        </w:rPr>
      </w:pPr>
    </w:p>
    <w:p w14:paraId="1BDE40CA" w14:textId="77777777" w:rsidR="004302B5" w:rsidRPr="002033A5" w:rsidRDefault="004302B5" w:rsidP="004302B5">
      <w:pPr>
        <w:rPr>
          <w:sz w:val="24"/>
          <w:szCs w:val="24"/>
          <w:lang w:eastAsia="en-GB"/>
        </w:rPr>
      </w:pPr>
    </w:p>
    <w:p w14:paraId="38683484" w14:textId="44630198" w:rsidR="004302B5" w:rsidRPr="002033A5" w:rsidRDefault="004302B5" w:rsidP="004302B5">
      <w:pPr>
        <w:pStyle w:val="ListParagraph"/>
        <w:tabs>
          <w:tab w:val="left" w:pos="851"/>
        </w:tabs>
        <w:spacing w:line="276" w:lineRule="auto"/>
        <w:ind w:left="131"/>
        <w:contextualSpacing/>
        <w:jc w:val="both"/>
        <w:textAlignment w:val="auto"/>
        <w:rPr>
          <w:sz w:val="24"/>
          <w:szCs w:val="24"/>
        </w:rPr>
      </w:pPr>
      <w:r w:rsidRPr="002033A5">
        <w:rPr>
          <w:sz w:val="24"/>
          <w:szCs w:val="24"/>
        </w:rPr>
        <w:t xml:space="preserve">L’offre financière sera évaluée en fonction de sa conformité au formulaire de bordereau des </w:t>
      </w:r>
      <w:r w:rsidR="00FF23CE" w:rsidRPr="002033A5">
        <w:rPr>
          <w:sz w:val="24"/>
          <w:szCs w:val="24"/>
        </w:rPr>
        <w:t>prix Le</w:t>
      </w:r>
      <w:r w:rsidRPr="002033A5">
        <w:rPr>
          <w:sz w:val="24"/>
          <w:szCs w:val="24"/>
        </w:rPr>
        <w:t xml:space="preserve"> nombre maximum de points pour l’offre financière est de 100. Le nombre maximum de points sera accordé à l’offre moins-disante. Toutes les autres offres financières recevront un nombre de points inversement proportionnel à leur prix, calculé en utilisant la formule suivante :</w:t>
      </w:r>
    </w:p>
    <w:p w14:paraId="10B3777C" w14:textId="77777777" w:rsidR="004302B5" w:rsidRPr="002033A5" w:rsidRDefault="004302B5" w:rsidP="004302B5">
      <w:pPr>
        <w:pStyle w:val="ListParagraph"/>
        <w:tabs>
          <w:tab w:val="left" w:pos="851"/>
        </w:tabs>
        <w:spacing w:line="276" w:lineRule="auto"/>
        <w:ind w:left="851"/>
        <w:contextualSpacing/>
        <w:jc w:val="both"/>
        <w:rPr>
          <w:sz w:val="24"/>
          <w:szCs w:val="24"/>
        </w:rPr>
      </w:pPr>
    </w:p>
    <w:tbl>
      <w:tblPr>
        <w:tblW w:w="6523"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1817"/>
        <w:gridCol w:w="2137"/>
        <w:gridCol w:w="2569"/>
      </w:tblGrid>
      <w:tr w:rsidR="004302B5" w:rsidRPr="002033A5" w14:paraId="32988707" w14:textId="77777777" w:rsidTr="004302B5">
        <w:trPr>
          <w:jc w:val="center"/>
        </w:trPr>
        <w:tc>
          <w:tcPr>
            <w:tcW w:w="1817" w:type="dxa"/>
            <w:vMerge w:val="restart"/>
            <w:tcBorders>
              <w:top w:val="single" w:sz="4" w:space="0" w:color="00000A"/>
              <w:left w:val="single" w:sz="4" w:space="0" w:color="00000A"/>
              <w:bottom w:val="single" w:sz="4" w:space="0" w:color="00000A"/>
              <w:right w:val="nil"/>
            </w:tcBorders>
            <w:shd w:val="clear" w:color="auto" w:fill="FFFFFF"/>
            <w:vAlign w:val="center"/>
            <w:hideMark/>
          </w:tcPr>
          <w:p w14:paraId="4FFB871E" w14:textId="77777777" w:rsidR="004302B5" w:rsidRPr="002033A5" w:rsidRDefault="004302B5">
            <w:pPr>
              <w:tabs>
                <w:tab w:val="left" w:pos="0"/>
              </w:tabs>
              <w:spacing w:line="276" w:lineRule="auto"/>
              <w:jc w:val="both"/>
              <w:rPr>
                <w:sz w:val="24"/>
                <w:szCs w:val="24"/>
              </w:rPr>
            </w:pPr>
            <w:r w:rsidRPr="002033A5">
              <w:rPr>
                <w:sz w:val="24"/>
                <w:szCs w:val="24"/>
              </w:rPr>
              <w:t>Score financier=</w:t>
            </w: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hideMark/>
          </w:tcPr>
          <w:p w14:paraId="7F7B7724" w14:textId="77777777" w:rsidR="004302B5" w:rsidRPr="002033A5" w:rsidRDefault="004302B5">
            <w:pPr>
              <w:tabs>
                <w:tab w:val="left" w:pos="0"/>
              </w:tabs>
              <w:spacing w:line="276" w:lineRule="auto"/>
              <w:jc w:val="center"/>
              <w:rPr>
                <w:sz w:val="24"/>
                <w:szCs w:val="24"/>
              </w:rPr>
            </w:pPr>
            <w:r w:rsidRPr="002033A5">
              <w:rPr>
                <w:sz w:val="24"/>
                <w:szCs w:val="24"/>
              </w:rPr>
              <w:t>Offre la moins-disante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9699D6" w14:textId="77777777" w:rsidR="004302B5" w:rsidRPr="002033A5" w:rsidRDefault="004302B5">
            <w:pPr>
              <w:tabs>
                <w:tab w:val="left" w:pos="0"/>
              </w:tabs>
              <w:spacing w:line="276" w:lineRule="auto"/>
              <w:jc w:val="both"/>
              <w:rPr>
                <w:sz w:val="24"/>
                <w:szCs w:val="24"/>
              </w:rPr>
            </w:pPr>
            <w:r w:rsidRPr="002033A5">
              <w:rPr>
                <w:sz w:val="24"/>
                <w:szCs w:val="24"/>
              </w:rPr>
              <w:t>X 100 (score maximum)</w:t>
            </w:r>
          </w:p>
        </w:tc>
      </w:tr>
      <w:tr w:rsidR="004302B5" w:rsidRPr="002033A5" w14:paraId="59B99513" w14:textId="77777777" w:rsidTr="004302B5">
        <w:trPr>
          <w:jc w:val="center"/>
        </w:trPr>
        <w:tc>
          <w:tcPr>
            <w:tcW w:w="0" w:type="auto"/>
            <w:vMerge/>
            <w:tcBorders>
              <w:top w:val="single" w:sz="4" w:space="0" w:color="00000A"/>
              <w:left w:val="single" w:sz="4" w:space="0" w:color="00000A"/>
              <w:bottom w:val="single" w:sz="4" w:space="0" w:color="00000A"/>
              <w:right w:val="nil"/>
            </w:tcBorders>
            <w:vAlign w:val="center"/>
            <w:hideMark/>
          </w:tcPr>
          <w:p w14:paraId="2080DAAE" w14:textId="77777777" w:rsidR="004302B5" w:rsidRPr="002033A5" w:rsidRDefault="004302B5">
            <w:pPr>
              <w:spacing w:line="276" w:lineRule="auto"/>
              <w:rPr>
                <w:color w:val="00000A"/>
                <w:sz w:val="24"/>
                <w:szCs w:val="24"/>
                <w:lang w:eastAsia="en-GB"/>
              </w:rPr>
            </w:pP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hideMark/>
          </w:tcPr>
          <w:p w14:paraId="0A521576" w14:textId="77777777" w:rsidR="004302B5" w:rsidRPr="002033A5" w:rsidRDefault="004302B5">
            <w:pPr>
              <w:tabs>
                <w:tab w:val="left" w:pos="0"/>
              </w:tabs>
              <w:spacing w:line="276" w:lineRule="auto"/>
              <w:jc w:val="center"/>
              <w:rPr>
                <w:sz w:val="24"/>
                <w:szCs w:val="24"/>
              </w:rPr>
            </w:pPr>
            <w:r w:rsidRPr="002033A5">
              <w:rPr>
                <w:sz w:val="24"/>
                <w:szCs w:val="24"/>
              </w:rPr>
              <w:t>Offre en cours d’évaluation (USD)</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0E17F4" w14:textId="77777777" w:rsidR="004302B5" w:rsidRPr="002033A5" w:rsidRDefault="004302B5">
            <w:pPr>
              <w:spacing w:line="276" w:lineRule="auto"/>
              <w:rPr>
                <w:color w:val="00000A"/>
                <w:sz w:val="24"/>
                <w:szCs w:val="24"/>
                <w:lang w:eastAsia="en-GB"/>
              </w:rPr>
            </w:pPr>
          </w:p>
        </w:tc>
      </w:tr>
    </w:tbl>
    <w:p w14:paraId="3F98E4E6" w14:textId="77777777" w:rsidR="004302B5" w:rsidRPr="002033A5" w:rsidRDefault="004302B5" w:rsidP="004302B5">
      <w:pPr>
        <w:tabs>
          <w:tab w:val="left" w:pos="851"/>
        </w:tabs>
        <w:spacing w:line="276" w:lineRule="auto"/>
        <w:jc w:val="both"/>
        <w:rPr>
          <w:color w:val="00000A"/>
          <w:sz w:val="24"/>
          <w:szCs w:val="24"/>
          <w:lang w:eastAsia="en-GB"/>
        </w:rPr>
      </w:pPr>
    </w:p>
    <w:p w14:paraId="67923414" w14:textId="77777777" w:rsidR="004302B5" w:rsidRPr="002033A5" w:rsidRDefault="004302B5" w:rsidP="004302B5">
      <w:pPr>
        <w:pStyle w:val="Titre2"/>
        <w:numPr>
          <w:ilvl w:val="0"/>
          <w:numId w:val="0"/>
        </w:numPr>
        <w:rPr>
          <w:rFonts w:ascii="Times New Roman" w:hAnsi="Times New Roman" w:cs="Times New Roman"/>
          <w:sz w:val="24"/>
          <w:szCs w:val="24"/>
        </w:rPr>
      </w:pPr>
      <w:bookmarkStart w:id="2" w:name="__RefHeading___Toc1596653_762275188"/>
      <w:bookmarkStart w:id="3" w:name="_Toc419381634"/>
      <w:bookmarkEnd w:id="2"/>
      <w:r w:rsidRPr="002033A5">
        <w:rPr>
          <w:rFonts w:ascii="Times New Roman" w:hAnsi="Times New Roman" w:cs="Times New Roman"/>
          <w:color w:val="auto"/>
          <w:sz w:val="24"/>
          <w:szCs w:val="24"/>
        </w:rPr>
        <w:t xml:space="preserve">Score total </w:t>
      </w:r>
      <w:bookmarkEnd w:id="3"/>
    </w:p>
    <w:p w14:paraId="6EE4CC03" w14:textId="77777777" w:rsidR="004302B5" w:rsidRPr="002033A5" w:rsidRDefault="004302B5" w:rsidP="004302B5">
      <w:pPr>
        <w:pStyle w:val="ListParagraph"/>
        <w:tabs>
          <w:tab w:val="left" w:pos="851"/>
        </w:tabs>
        <w:spacing w:line="276" w:lineRule="auto"/>
        <w:ind w:left="349"/>
        <w:contextualSpacing/>
        <w:jc w:val="both"/>
        <w:textAlignment w:val="auto"/>
        <w:rPr>
          <w:sz w:val="24"/>
          <w:szCs w:val="24"/>
        </w:rPr>
      </w:pPr>
      <w:r w:rsidRPr="002033A5">
        <w:rPr>
          <w:sz w:val="24"/>
          <w:szCs w:val="24"/>
        </w:rPr>
        <w:t>Le score total de chaque soumissionnaire est constitué de la somme des scores technique et financier. Le score total maximum est de 100 points.</w:t>
      </w:r>
    </w:p>
    <w:p w14:paraId="5A738CBE" w14:textId="77777777" w:rsidR="004302B5" w:rsidRPr="002033A5" w:rsidRDefault="004302B5" w:rsidP="004302B5">
      <w:pPr>
        <w:rPr>
          <w:sz w:val="24"/>
          <w:szCs w:val="24"/>
        </w:rPr>
      </w:pPr>
      <w:r w:rsidRPr="002033A5">
        <w:rPr>
          <w:noProof/>
          <w:sz w:val="24"/>
          <w:szCs w:val="24"/>
          <w:lang w:val="en-US"/>
        </w:rPr>
        <mc:AlternateContent>
          <mc:Choice Requires="wps">
            <w:drawing>
              <wp:anchor distT="0" distB="22860" distL="114300" distR="128905" simplePos="0" relativeHeight="251658240" behindDoc="0" locked="0" layoutInCell="1" allowOverlap="1" wp14:anchorId="3B5F3875" wp14:editId="4F05C49C">
                <wp:simplePos x="0" y="0"/>
                <wp:positionH relativeFrom="column">
                  <wp:posOffset>704850</wp:posOffset>
                </wp:positionH>
                <wp:positionV relativeFrom="paragraph">
                  <wp:posOffset>117475</wp:posOffset>
                </wp:positionV>
                <wp:extent cx="478155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781550" cy="476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79BFD08" w14:textId="77777777" w:rsidR="009C2C3A" w:rsidRDefault="009C2C3A" w:rsidP="004302B5">
                            <w:pPr>
                              <w:pStyle w:val="FrameContents"/>
                              <w:jc w:val="center"/>
                            </w:pPr>
                            <w:r>
                              <w:rPr>
                                <w:rFonts w:ascii="Calibri" w:hAnsi="Calibri" w:cs="Calibri"/>
                                <w:szCs w:val="22"/>
                              </w:rPr>
                              <w:t>Score total = 70% du score technique + [50-30%] du score financier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B5F3875" id="Rectangle 7" o:spid="_x0000_s1026" style="position:absolute;margin-left:55.5pt;margin-top:9.25pt;width:376.5pt;height:37.5pt;z-index:251658240;visibility:visible;mso-wrap-style:square;mso-width-percent:0;mso-height-percent:0;mso-wrap-distance-left:9pt;mso-wrap-distance-top:0;mso-wrap-distance-right:10.15pt;mso-wrap-distance-bottom:1.8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" strokeweight=".26mm">
                <v:textbox>
                  <w:txbxContent>
                    <w:p w14:paraId="479BFD08" w14:textId="77777777" w:rsidR="009C2C3A" w:rsidRDefault="009C2C3A" w:rsidP="004302B5">
                      <w:pPr>
                        <w:pStyle w:val="FrameContents"/>
                        <w:jc w:val="center"/>
                      </w:pPr>
                      <w:r>
                        <w:rPr>
                          <w:rFonts w:ascii="Calibri" w:hAnsi="Calibri" w:cs="Calibri"/>
                          <w:szCs w:val="22"/>
                        </w:rPr>
                        <w:t>Score total = 70% du score technique + [50-30%] du score financier</w:t>
                      </w:r>
                    </w:p>
                  </w:txbxContent>
                </v:textbox>
              </v:rect>
            </w:pict>
          </mc:Fallback>
        </mc:AlternateContent>
      </w:r>
      <w:bookmarkStart w:id="4" w:name="__UnoMark__4605_762275188"/>
      <w:bookmarkEnd w:id="4"/>
    </w:p>
    <w:p w14:paraId="1DEB4664" w14:textId="77777777" w:rsidR="004302B5" w:rsidRPr="002033A5" w:rsidRDefault="004302B5" w:rsidP="004302B5">
      <w:pPr>
        <w:rPr>
          <w:sz w:val="24"/>
          <w:szCs w:val="24"/>
        </w:rPr>
      </w:pPr>
    </w:p>
    <w:p w14:paraId="65F83D59" w14:textId="77777777" w:rsidR="004302B5" w:rsidRPr="002033A5" w:rsidRDefault="004302B5" w:rsidP="004302B5">
      <w:pPr>
        <w:tabs>
          <w:tab w:val="left" w:pos="8835"/>
        </w:tabs>
        <w:spacing w:line="276" w:lineRule="auto"/>
        <w:jc w:val="both"/>
        <w:rPr>
          <w:sz w:val="24"/>
          <w:szCs w:val="24"/>
        </w:rPr>
      </w:pPr>
      <w:r w:rsidRPr="002033A5">
        <w:rPr>
          <w:sz w:val="24"/>
          <w:szCs w:val="24"/>
        </w:rPr>
        <w:tab/>
      </w:r>
    </w:p>
    <w:p w14:paraId="7F56630F" w14:textId="77777777" w:rsidR="004302B5" w:rsidRPr="002033A5" w:rsidRDefault="004302B5" w:rsidP="004302B5">
      <w:pPr>
        <w:tabs>
          <w:tab w:val="left" w:pos="8835"/>
        </w:tabs>
        <w:spacing w:line="276" w:lineRule="auto"/>
        <w:jc w:val="both"/>
        <w:rPr>
          <w:sz w:val="24"/>
          <w:szCs w:val="24"/>
        </w:rPr>
      </w:pPr>
    </w:p>
    <w:p w14:paraId="30232D96" w14:textId="77777777" w:rsidR="004302B5" w:rsidRPr="002033A5" w:rsidRDefault="004302B5" w:rsidP="004302B5">
      <w:pPr>
        <w:tabs>
          <w:tab w:val="left" w:pos="8835"/>
        </w:tabs>
        <w:spacing w:line="276" w:lineRule="auto"/>
        <w:jc w:val="both"/>
        <w:rPr>
          <w:sz w:val="24"/>
          <w:szCs w:val="24"/>
        </w:rPr>
      </w:pPr>
    </w:p>
    <w:p w14:paraId="5098A623" w14:textId="77777777" w:rsidR="004302B5" w:rsidRPr="002033A5" w:rsidRDefault="004302B5" w:rsidP="004302B5">
      <w:pPr>
        <w:pStyle w:val="Titre2"/>
        <w:numPr>
          <w:ilvl w:val="0"/>
          <w:numId w:val="14"/>
        </w:numPr>
        <w:rPr>
          <w:rFonts w:ascii="Times New Roman" w:hAnsi="Times New Roman" w:cs="Times New Roman"/>
          <w:color w:val="auto"/>
          <w:sz w:val="24"/>
          <w:szCs w:val="24"/>
        </w:rPr>
      </w:pPr>
      <w:bookmarkStart w:id="5" w:name="__RefHeading___Toc1596655_762275188"/>
      <w:bookmarkStart w:id="6" w:name="_Toc368998650"/>
      <w:bookmarkStart w:id="7" w:name="_Toc419381635"/>
      <w:bookmarkEnd w:id="5"/>
      <w:bookmarkEnd w:id="6"/>
      <w:bookmarkEnd w:id="7"/>
      <w:r w:rsidRPr="002033A5">
        <w:rPr>
          <w:rFonts w:ascii="Times New Roman" w:hAnsi="Times New Roman" w:cs="Times New Roman"/>
          <w:color w:val="auto"/>
          <w:sz w:val="24"/>
          <w:szCs w:val="24"/>
        </w:rPr>
        <w:t>Attribution du contrat et considérations finales</w:t>
      </w:r>
    </w:p>
    <w:p w14:paraId="0B2A73F8" w14:textId="77777777" w:rsidR="00BE32C1" w:rsidRPr="002033A5" w:rsidRDefault="00BE32C1">
      <w:pPr>
        <w:jc w:val="both"/>
        <w:rPr>
          <w:sz w:val="24"/>
          <w:szCs w:val="24"/>
          <w:lang w:eastAsia="en-GB"/>
        </w:rPr>
      </w:pPr>
    </w:p>
    <w:p w14:paraId="76AFB01B" w14:textId="77777777" w:rsidR="00245983" w:rsidRPr="002033A5" w:rsidRDefault="00245983">
      <w:pPr>
        <w:jc w:val="both"/>
        <w:rPr>
          <w:sz w:val="24"/>
          <w:szCs w:val="24"/>
          <w:lang w:eastAsia="en-GB"/>
        </w:rPr>
      </w:pPr>
    </w:p>
    <w:p w14:paraId="4D03F2CB" w14:textId="77777777" w:rsidR="00245983" w:rsidRPr="002033A5" w:rsidRDefault="00872FCA">
      <w:pPr>
        <w:pStyle w:val="ListParagraph"/>
        <w:numPr>
          <w:ilvl w:val="0"/>
          <w:numId w:val="3"/>
        </w:numPr>
        <w:jc w:val="both"/>
        <w:rPr>
          <w:b/>
          <w:sz w:val="24"/>
          <w:szCs w:val="24"/>
        </w:rPr>
      </w:pPr>
      <w:r w:rsidRPr="002033A5">
        <w:rPr>
          <w:b/>
          <w:sz w:val="24"/>
          <w:szCs w:val="24"/>
        </w:rPr>
        <w:t xml:space="preserve">Attribution </w:t>
      </w:r>
    </w:p>
    <w:p w14:paraId="2B8640AC" w14:textId="77777777" w:rsidR="00245983" w:rsidRPr="002033A5" w:rsidRDefault="004D3AD4">
      <w:pPr>
        <w:pStyle w:val="letter"/>
        <w:jc w:val="both"/>
        <w:rPr>
          <w:szCs w:val="24"/>
        </w:rPr>
      </w:pPr>
      <w:r w:rsidRPr="002033A5">
        <w:rPr>
          <w:szCs w:val="24"/>
        </w:rPr>
        <w:t>L’UNFPA attribuera un bon de commande</w:t>
      </w:r>
      <w:r w:rsidR="00872FCA" w:rsidRPr="002033A5">
        <w:rPr>
          <w:szCs w:val="24"/>
        </w:rPr>
        <w:t xml:space="preserve"> au soumissionnaire le moins-disant dont l’offre a été jugée substantiellement conforme aux documents d’appel d’offres.</w:t>
      </w:r>
    </w:p>
    <w:p w14:paraId="586BC1AD" w14:textId="77777777" w:rsidR="00245983" w:rsidRPr="002033A5" w:rsidRDefault="00245983">
      <w:pPr>
        <w:spacing w:after="120"/>
        <w:contextualSpacing/>
        <w:jc w:val="both"/>
        <w:rPr>
          <w:bCs/>
          <w:sz w:val="24"/>
          <w:szCs w:val="24"/>
        </w:rPr>
      </w:pPr>
    </w:p>
    <w:p w14:paraId="38F1F6B8" w14:textId="77777777" w:rsidR="00245983" w:rsidRPr="002033A5" w:rsidRDefault="00872FCA">
      <w:pPr>
        <w:pStyle w:val="ListParagraph"/>
        <w:numPr>
          <w:ilvl w:val="0"/>
          <w:numId w:val="3"/>
        </w:numPr>
        <w:jc w:val="both"/>
        <w:rPr>
          <w:b/>
          <w:sz w:val="24"/>
          <w:szCs w:val="24"/>
        </w:rPr>
      </w:pPr>
      <w:r w:rsidRPr="002033A5">
        <w:rPr>
          <w:b/>
          <w:sz w:val="24"/>
          <w:szCs w:val="24"/>
        </w:rPr>
        <w:t xml:space="preserve">Droit de l’UNFPA de modifier les quantités au moment de l’attribution du marché </w:t>
      </w:r>
    </w:p>
    <w:p w14:paraId="3592C7C3"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lastRenderedPageBreak/>
        <w:t xml:space="preserve">L’UNFPA se réserve le droit, au moment d’attribuer le marché, d’augmenter ou de réduire jusqu’à 20 % les quantités de biens spécifiées dans cette </w:t>
      </w:r>
      <w:r w:rsidR="00656813" w:rsidRPr="002033A5">
        <w:rPr>
          <w:sz w:val="24"/>
          <w:szCs w:val="24"/>
        </w:rPr>
        <w:t>Demande de Cotation</w:t>
      </w:r>
      <w:r w:rsidRPr="002033A5">
        <w:rPr>
          <w:sz w:val="24"/>
          <w:szCs w:val="24"/>
        </w:rPr>
        <w:t>, sans aucune modification du prix à l’unité ou des conditions générales.</w:t>
      </w:r>
    </w:p>
    <w:p w14:paraId="5B06524A" w14:textId="77777777" w:rsidR="00245983" w:rsidRPr="002033A5" w:rsidRDefault="00245983">
      <w:pPr>
        <w:pStyle w:val="letter"/>
        <w:jc w:val="both"/>
        <w:rPr>
          <w:b/>
          <w:szCs w:val="24"/>
          <w:u w:val="single"/>
        </w:rPr>
      </w:pPr>
    </w:p>
    <w:p w14:paraId="1C8FC18B" w14:textId="77777777" w:rsidR="00245983" w:rsidRPr="002033A5" w:rsidRDefault="00872FCA">
      <w:pPr>
        <w:pStyle w:val="ListParagraph"/>
        <w:numPr>
          <w:ilvl w:val="0"/>
          <w:numId w:val="3"/>
        </w:numPr>
        <w:jc w:val="both"/>
        <w:rPr>
          <w:sz w:val="24"/>
          <w:szCs w:val="24"/>
        </w:rPr>
      </w:pPr>
      <w:r w:rsidRPr="002033A5">
        <w:rPr>
          <w:b/>
          <w:sz w:val="24"/>
          <w:szCs w:val="24"/>
        </w:rPr>
        <w:t>Conditions de paiement</w:t>
      </w:r>
    </w:p>
    <w:p w14:paraId="5200B11C"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Les conditions de paiement de l’UNFPA sont fixées à 30 jours nets à </w:t>
      </w:r>
      <w:r w:rsidR="00656813" w:rsidRPr="002033A5">
        <w:rPr>
          <w:sz w:val="24"/>
          <w:szCs w:val="24"/>
        </w:rPr>
        <w:t xml:space="preserve">la </w:t>
      </w:r>
      <w:r w:rsidRPr="002033A5">
        <w:rPr>
          <w:sz w:val="24"/>
          <w:szCs w:val="24"/>
        </w:rPr>
        <w:t>réception des documents d’expédition, de la facture et de toute autre documentation requise par le contrat.</w:t>
      </w:r>
    </w:p>
    <w:p w14:paraId="7F97612D" w14:textId="77777777" w:rsidR="00245983" w:rsidRPr="002033A5" w:rsidRDefault="00245983">
      <w:pPr>
        <w:pStyle w:val="ListParagraph"/>
        <w:tabs>
          <w:tab w:val="left" w:pos="851"/>
        </w:tabs>
        <w:overflowPunct w:val="0"/>
        <w:spacing w:line="276" w:lineRule="auto"/>
        <w:ind w:left="0"/>
        <w:contextualSpacing/>
        <w:jc w:val="both"/>
        <w:textAlignment w:val="auto"/>
        <w:rPr>
          <w:sz w:val="24"/>
          <w:szCs w:val="24"/>
        </w:rPr>
      </w:pPr>
    </w:p>
    <w:p w14:paraId="6D77EBAA" w14:textId="77777777" w:rsidR="00245983" w:rsidRPr="002033A5" w:rsidRDefault="00000000">
      <w:pPr>
        <w:pStyle w:val="ListParagraph"/>
        <w:numPr>
          <w:ilvl w:val="0"/>
          <w:numId w:val="3"/>
        </w:numPr>
        <w:jc w:val="both"/>
        <w:rPr>
          <w:sz w:val="24"/>
          <w:szCs w:val="24"/>
        </w:rPr>
      </w:pPr>
      <w:hyperlink r:id="rId12" w:anchor="FraudCorruption" w:history="1">
        <w:r w:rsidR="00872FCA" w:rsidRPr="002033A5">
          <w:rPr>
            <w:rStyle w:val="InternetLink"/>
            <w:b/>
            <w:color w:val="auto"/>
            <w:sz w:val="24"/>
            <w:szCs w:val="24"/>
          </w:rPr>
          <w:t>Fraude et corruption</w:t>
        </w:r>
      </w:hyperlink>
    </w:p>
    <w:p w14:paraId="2C98BD63" w14:textId="77777777" w:rsidR="00245983" w:rsidRPr="002033A5" w:rsidRDefault="00872FCA">
      <w:pPr>
        <w:pStyle w:val="ListParagraph"/>
        <w:overflowPunct w:val="0"/>
        <w:spacing w:line="276" w:lineRule="auto"/>
        <w:ind w:left="0"/>
        <w:contextualSpacing/>
        <w:jc w:val="both"/>
        <w:textAlignment w:val="auto"/>
        <w:rPr>
          <w:sz w:val="24"/>
          <w:szCs w:val="24"/>
        </w:rPr>
      </w:pPr>
      <w:r w:rsidRPr="002033A5">
        <w:rPr>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3" w:anchor="overlay-context=node/10356/draft" w:history="1">
        <w:r w:rsidRPr="002033A5">
          <w:rPr>
            <w:rStyle w:val="InternetLink"/>
            <w:sz w:val="24"/>
            <w:szCs w:val="24"/>
          </w:rPr>
          <w:t>Politique contre la fraude</w:t>
        </w:r>
      </w:hyperlink>
      <w:r w:rsidRPr="002033A5">
        <w:rPr>
          <w:sz w:val="24"/>
          <w:szCs w:val="24"/>
        </w:rPr>
        <w:t xml:space="preserve">. La soumission de toute offre implique que le soumissionnaire a pris connaissance de ladite politique. </w:t>
      </w:r>
    </w:p>
    <w:p w14:paraId="7AA656B4" w14:textId="77777777" w:rsidR="00245983" w:rsidRPr="002033A5" w:rsidRDefault="00245983">
      <w:pPr>
        <w:pStyle w:val="ListParagraph"/>
        <w:overflowPunct w:val="0"/>
        <w:spacing w:line="276" w:lineRule="auto"/>
        <w:ind w:left="0"/>
        <w:contextualSpacing/>
        <w:jc w:val="both"/>
        <w:textAlignment w:val="auto"/>
        <w:rPr>
          <w:b/>
          <w:sz w:val="24"/>
          <w:szCs w:val="24"/>
        </w:rPr>
      </w:pPr>
    </w:p>
    <w:p w14:paraId="5A592C21" w14:textId="77777777" w:rsidR="00245983" w:rsidRPr="002033A5" w:rsidRDefault="00872FCA">
      <w:pPr>
        <w:jc w:val="both"/>
        <w:rPr>
          <w:sz w:val="24"/>
          <w:szCs w:val="24"/>
        </w:rPr>
      </w:pPr>
      <w:r w:rsidRPr="002033A5">
        <w:rPr>
          <w:sz w:val="24"/>
          <w:szCs w:val="24"/>
        </w:rPr>
        <w:t xml:space="preserve">Les fournisseurs, ainsi que leurs </w:t>
      </w:r>
      <w:r w:rsidR="00656813" w:rsidRPr="002033A5">
        <w:rPr>
          <w:sz w:val="24"/>
          <w:szCs w:val="24"/>
        </w:rPr>
        <w:t>filiales</w:t>
      </w:r>
      <w:r w:rsidRPr="002033A5">
        <w:rPr>
          <w:sz w:val="24"/>
          <w:szCs w:val="24"/>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sidRPr="002033A5">
        <w:rPr>
          <w:sz w:val="24"/>
          <w:szCs w:val="24"/>
        </w:rPr>
        <w:t xml:space="preserve">Toute </w:t>
      </w:r>
      <w:r w:rsidRPr="002033A5">
        <w:rPr>
          <w:sz w:val="24"/>
          <w:szCs w:val="24"/>
        </w:rPr>
        <w:t xml:space="preserve">non-coopération </w:t>
      </w:r>
      <w:r w:rsidR="00656813" w:rsidRPr="002033A5">
        <w:rPr>
          <w:sz w:val="24"/>
          <w:szCs w:val="24"/>
        </w:rPr>
        <w:t xml:space="preserve">dans les investigations menées, constitue </w:t>
      </w:r>
      <w:r w:rsidRPr="002033A5">
        <w:rPr>
          <w:sz w:val="24"/>
          <w:szCs w:val="24"/>
        </w:rPr>
        <w:t>une raison suffisante pour que l’UNFPA résilie</w:t>
      </w:r>
      <w:r w:rsidR="00BE0075" w:rsidRPr="002033A5">
        <w:rPr>
          <w:sz w:val="24"/>
          <w:szCs w:val="24"/>
        </w:rPr>
        <w:t xml:space="preserve"> l`accord</w:t>
      </w:r>
      <w:r w:rsidRPr="002033A5">
        <w:rPr>
          <w:sz w:val="24"/>
          <w:szCs w:val="24"/>
        </w:rPr>
        <w:t xml:space="preserve"> et pour retirer le fournisseur de la liste des fournisseurs </w:t>
      </w:r>
      <w:r w:rsidR="00656813" w:rsidRPr="002033A5">
        <w:rPr>
          <w:sz w:val="24"/>
          <w:szCs w:val="24"/>
        </w:rPr>
        <w:t xml:space="preserve">agréés  </w:t>
      </w:r>
      <w:r w:rsidRPr="002033A5">
        <w:rPr>
          <w:sz w:val="24"/>
          <w:szCs w:val="24"/>
        </w:rPr>
        <w:t>auprès de l’UNFPA.</w:t>
      </w:r>
    </w:p>
    <w:p w14:paraId="29FEC7D4" w14:textId="77777777" w:rsidR="00245983" w:rsidRPr="002033A5" w:rsidRDefault="00245983">
      <w:pPr>
        <w:pStyle w:val="letter"/>
        <w:jc w:val="both"/>
        <w:rPr>
          <w:szCs w:val="24"/>
        </w:rPr>
      </w:pPr>
    </w:p>
    <w:p w14:paraId="2E44E1B0" w14:textId="77777777" w:rsidR="00245983" w:rsidRPr="002033A5" w:rsidRDefault="00872FCA">
      <w:pPr>
        <w:spacing w:line="276" w:lineRule="auto"/>
        <w:contextualSpacing/>
        <w:jc w:val="both"/>
        <w:rPr>
          <w:sz w:val="24"/>
          <w:szCs w:val="24"/>
        </w:rPr>
      </w:pPr>
      <w:r w:rsidRPr="002033A5">
        <w:rPr>
          <w:sz w:val="24"/>
          <w:szCs w:val="24"/>
        </w:rPr>
        <w:t xml:space="preserve">Les soumissionnaires peuvent accéder à une ligne anti-fraude confidentielle pour dénoncer les activités frauduleuses à l’adresse suivante : </w:t>
      </w:r>
      <w:hyperlink r:id="rId14">
        <w:r w:rsidRPr="002033A5">
          <w:rPr>
            <w:rStyle w:val="InternetLink"/>
            <w:sz w:val="24"/>
            <w:szCs w:val="24"/>
          </w:rPr>
          <w:t>Ligne anti-fraude de l’UNFPA</w:t>
        </w:r>
      </w:hyperlink>
      <w:r w:rsidRPr="002033A5">
        <w:rPr>
          <w:sz w:val="24"/>
          <w:szCs w:val="24"/>
        </w:rPr>
        <w:t>.</w:t>
      </w:r>
    </w:p>
    <w:p w14:paraId="2392F654" w14:textId="77777777" w:rsidR="00245983" w:rsidRPr="002033A5" w:rsidRDefault="00245983">
      <w:pPr>
        <w:pStyle w:val="letter"/>
        <w:jc w:val="both"/>
        <w:rPr>
          <w:szCs w:val="24"/>
        </w:rPr>
      </w:pPr>
    </w:p>
    <w:p w14:paraId="5800C2BD" w14:textId="77777777" w:rsidR="00245983" w:rsidRPr="002033A5" w:rsidRDefault="00872FCA">
      <w:pPr>
        <w:pStyle w:val="ListParagraph"/>
        <w:numPr>
          <w:ilvl w:val="0"/>
          <w:numId w:val="3"/>
        </w:numPr>
        <w:jc w:val="both"/>
        <w:rPr>
          <w:sz w:val="24"/>
          <w:szCs w:val="24"/>
        </w:rPr>
      </w:pPr>
      <w:r w:rsidRPr="002033A5">
        <w:rPr>
          <w:b/>
          <w:sz w:val="24"/>
          <w:szCs w:val="24"/>
        </w:rPr>
        <w:t>Politique de tolérance zéro</w:t>
      </w:r>
    </w:p>
    <w:p w14:paraId="303BBEC7" w14:textId="77777777" w:rsidR="00245983" w:rsidRPr="002033A5" w:rsidRDefault="00872FCA">
      <w:pPr>
        <w:jc w:val="both"/>
        <w:rPr>
          <w:sz w:val="24"/>
          <w:szCs w:val="24"/>
        </w:rPr>
      </w:pPr>
      <w:r w:rsidRPr="002033A5">
        <w:rPr>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5" w:anchor="ZeroTolerance" w:history="1">
        <w:r w:rsidRPr="002033A5">
          <w:rPr>
            <w:rStyle w:val="InternetLink"/>
            <w:sz w:val="24"/>
            <w:szCs w:val="24"/>
            <w:lang w:eastAsia="en-GB"/>
          </w:rPr>
          <w:t>Politique de tolérance zéro</w:t>
        </w:r>
      </w:hyperlink>
      <w:r w:rsidRPr="002033A5">
        <w:rPr>
          <w:sz w:val="24"/>
          <w:szCs w:val="24"/>
        </w:rPr>
        <w:t>.</w:t>
      </w:r>
    </w:p>
    <w:p w14:paraId="7F12A444" w14:textId="77777777" w:rsidR="00245983" w:rsidRPr="002033A5" w:rsidRDefault="00245983">
      <w:pPr>
        <w:jc w:val="both"/>
        <w:rPr>
          <w:sz w:val="24"/>
          <w:szCs w:val="24"/>
          <w:lang w:eastAsia="en-GB"/>
        </w:rPr>
      </w:pPr>
    </w:p>
    <w:p w14:paraId="0934CBF4" w14:textId="77777777" w:rsidR="00245983" w:rsidRPr="002033A5" w:rsidRDefault="00872FCA">
      <w:pPr>
        <w:pStyle w:val="ListParagraph"/>
        <w:numPr>
          <w:ilvl w:val="0"/>
          <w:numId w:val="3"/>
        </w:numPr>
        <w:jc w:val="both"/>
        <w:rPr>
          <w:b/>
          <w:sz w:val="24"/>
          <w:szCs w:val="24"/>
        </w:rPr>
      </w:pPr>
      <w:r w:rsidRPr="002033A5">
        <w:rPr>
          <w:b/>
          <w:sz w:val="24"/>
          <w:szCs w:val="24"/>
        </w:rPr>
        <w:t>Contestation de la RFQ</w:t>
      </w:r>
    </w:p>
    <w:p w14:paraId="4980FDDF" w14:textId="720D9C30" w:rsidR="00245983" w:rsidRPr="002033A5" w:rsidRDefault="00872FCA">
      <w:pPr>
        <w:tabs>
          <w:tab w:val="left" w:pos="851"/>
        </w:tabs>
        <w:spacing w:line="276" w:lineRule="auto"/>
        <w:contextualSpacing/>
        <w:jc w:val="both"/>
        <w:rPr>
          <w:sz w:val="24"/>
          <w:szCs w:val="24"/>
        </w:rPr>
      </w:pPr>
      <w:r w:rsidRPr="002033A5">
        <w:rPr>
          <w:sz w:val="24"/>
          <w:szCs w:val="24"/>
        </w:rPr>
        <w:t xml:space="preserve">Les soumissionnaires qui estiment avoir été traités injustement ou </w:t>
      </w:r>
      <w:r w:rsidR="00D84F0F" w:rsidRPr="002033A5">
        <w:rPr>
          <w:sz w:val="24"/>
          <w:szCs w:val="24"/>
        </w:rPr>
        <w:t>équitablement</w:t>
      </w:r>
      <w:r w:rsidRPr="002033A5">
        <w:rPr>
          <w:sz w:val="24"/>
          <w:szCs w:val="24"/>
        </w:rPr>
        <w:t xml:space="preserve"> dans le cadre de l’appel d’offres, de l’évaluation ou de l’adjudication d’un contrat pourront envoyer une réclamation au chef de l’unité concernée de l’UNFPA </w:t>
      </w:r>
      <w:r w:rsidR="00FF23CE">
        <w:rPr>
          <w:sz w:val="24"/>
          <w:szCs w:val="24"/>
        </w:rPr>
        <w:t>M. Philippe Serge Degernier</w:t>
      </w:r>
      <w:r w:rsidR="004D3AD4" w:rsidRPr="002033A5">
        <w:rPr>
          <w:sz w:val="24"/>
          <w:szCs w:val="24"/>
        </w:rPr>
        <w:t>,</w:t>
      </w:r>
      <w:r w:rsidRPr="002033A5">
        <w:rPr>
          <w:sz w:val="24"/>
          <w:szCs w:val="24"/>
        </w:rPr>
        <w:t xml:space="preserve"> représentant</w:t>
      </w:r>
      <w:r w:rsidR="00FF23CE">
        <w:rPr>
          <w:sz w:val="24"/>
          <w:szCs w:val="24"/>
        </w:rPr>
        <w:t xml:space="preserve"> résident</w:t>
      </w:r>
      <w:r w:rsidRPr="002033A5">
        <w:rPr>
          <w:sz w:val="24"/>
          <w:szCs w:val="24"/>
        </w:rPr>
        <w:t xml:space="preserve">] à l’adresse suivante : </w:t>
      </w:r>
      <w:r w:rsidR="00FF23CE">
        <w:rPr>
          <w:sz w:val="24"/>
          <w:szCs w:val="24"/>
        </w:rPr>
        <w:t>degernier</w:t>
      </w:r>
      <w:r w:rsidR="004D3AD4" w:rsidRPr="002033A5">
        <w:rPr>
          <w:sz w:val="24"/>
          <w:szCs w:val="24"/>
        </w:rPr>
        <w:t>@unfpa.org</w:t>
      </w:r>
      <w:r w:rsidRPr="002033A5">
        <w:rPr>
          <w:sz w:val="24"/>
          <w:szCs w:val="24"/>
        </w:rPr>
        <w:t xml:space="preserve">. Si le fournisseur n’est pas satisfait de la réponse fournie par le chef de l’unité concernée, il peut contacter le Chef de la Division des services d’approvisionnement à l’adresse </w:t>
      </w:r>
      <w:hyperlink r:id="rId16">
        <w:r w:rsidRPr="002033A5">
          <w:rPr>
            <w:rStyle w:val="InternetLink"/>
            <w:sz w:val="24"/>
            <w:szCs w:val="24"/>
          </w:rPr>
          <w:t>procurement@unfpa.org</w:t>
        </w:r>
      </w:hyperlink>
      <w:bookmarkStart w:id="8" w:name="_Toc368998656"/>
      <w:bookmarkEnd w:id="8"/>
      <w:r w:rsidRPr="002033A5">
        <w:rPr>
          <w:sz w:val="24"/>
          <w:szCs w:val="24"/>
        </w:rPr>
        <w:t>.</w:t>
      </w:r>
    </w:p>
    <w:p w14:paraId="7498309F" w14:textId="77777777" w:rsidR="00245983" w:rsidRPr="002033A5" w:rsidRDefault="00245983">
      <w:pPr>
        <w:pStyle w:val="letter"/>
        <w:jc w:val="both"/>
        <w:rPr>
          <w:szCs w:val="24"/>
        </w:rPr>
      </w:pPr>
    </w:p>
    <w:p w14:paraId="0D8E3116" w14:textId="77777777" w:rsidR="00245983" w:rsidRPr="002033A5" w:rsidRDefault="00872FCA">
      <w:pPr>
        <w:pStyle w:val="ListParagraph"/>
        <w:numPr>
          <w:ilvl w:val="0"/>
          <w:numId w:val="3"/>
        </w:numPr>
        <w:jc w:val="both"/>
        <w:rPr>
          <w:b/>
          <w:sz w:val="24"/>
          <w:szCs w:val="24"/>
        </w:rPr>
      </w:pPr>
      <w:r w:rsidRPr="002033A5">
        <w:rPr>
          <w:b/>
          <w:sz w:val="24"/>
          <w:szCs w:val="24"/>
        </w:rPr>
        <w:t>Avertissement</w:t>
      </w:r>
    </w:p>
    <w:p w14:paraId="22FDCD12" w14:textId="6665C175"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Si un des liens contenus dans ce document est indisponible ou inaccessible pour quelque raison que ce soit, les soumissionnaires peuvent contacter le fonctionnaire en charge de l’approvisionnement pour demander ces documents </w:t>
      </w:r>
      <w:r w:rsidR="00FF23CE" w:rsidRPr="002033A5">
        <w:rPr>
          <w:sz w:val="24"/>
          <w:szCs w:val="24"/>
        </w:rPr>
        <w:t>en format</w:t>
      </w:r>
      <w:r w:rsidRPr="002033A5">
        <w:rPr>
          <w:sz w:val="24"/>
          <w:szCs w:val="24"/>
        </w:rPr>
        <w:t xml:space="preserve"> PDF.</w:t>
      </w:r>
    </w:p>
    <w:p w14:paraId="7DB0E83A" w14:textId="77777777"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br w:type="page"/>
      </w:r>
    </w:p>
    <w:p w14:paraId="06C9FE39" w14:textId="77777777" w:rsidR="00245983" w:rsidRPr="002033A5" w:rsidRDefault="00656813">
      <w:pPr>
        <w:pStyle w:val="Caption"/>
        <w:rPr>
          <w:caps/>
          <w:sz w:val="24"/>
          <w:szCs w:val="24"/>
        </w:rPr>
      </w:pPr>
      <w:r w:rsidRPr="002033A5">
        <w:rPr>
          <w:caps/>
          <w:sz w:val="24"/>
          <w:szCs w:val="24"/>
        </w:rPr>
        <w:lastRenderedPageBreak/>
        <w:t>BORDEREAU DE PRIX</w:t>
      </w:r>
    </w:p>
    <w:p w14:paraId="0E2A7BA5" w14:textId="77777777" w:rsidR="00245983" w:rsidRPr="002033A5" w:rsidRDefault="00245983">
      <w:pPr>
        <w:rPr>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rsidRPr="002033A5" w14:paraId="0307D16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ED61F7E" w14:textId="77777777" w:rsidR="00245983" w:rsidRPr="002033A5" w:rsidRDefault="00872FCA">
            <w:pPr>
              <w:rPr>
                <w:b/>
                <w:bCs/>
                <w:sz w:val="24"/>
                <w:szCs w:val="24"/>
              </w:rPr>
            </w:pPr>
            <w:r w:rsidRPr="002033A5">
              <w:rPr>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782E13E" w14:textId="77777777" w:rsidR="00245983" w:rsidRPr="002033A5" w:rsidRDefault="00245983">
            <w:pPr>
              <w:jc w:val="center"/>
              <w:rPr>
                <w:bCs/>
                <w:sz w:val="24"/>
                <w:szCs w:val="24"/>
              </w:rPr>
            </w:pPr>
          </w:p>
        </w:tc>
      </w:tr>
      <w:tr w:rsidR="00245983" w:rsidRPr="002033A5" w14:paraId="6A8DA63A"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DF93A00" w14:textId="77777777" w:rsidR="00245983" w:rsidRPr="002033A5" w:rsidRDefault="00872FCA" w:rsidP="00656813">
            <w:pPr>
              <w:rPr>
                <w:sz w:val="24"/>
                <w:szCs w:val="24"/>
              </w:rPr>
            </w:pPr>
            <w:r w:rsidRPr="002033A5">
              <w:rPr>
                <w:b/>
                <w:bCs/>
                <w:sz w:val="24"/>
                <w:szCs w:val="24"/>
              </w:rPr>
              <w:t xml:space="preserve">Date </w:t>
            </w:r>
            <w:r w:rsidR="00656813" w:rsidRPr="002033A5">
              <w:rPr>
                <w:b/>
                <w:bCs/>
                <w:sz w:val="24"/>
                <w:szCs w:val="24"/>
              </w:rPr>
              <w:t>de la cotation</w:t>
            </w:r>
            <w:r w:rsidRPr="002033A5">
              <w:rPr>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3D330D2F" w14:textId="77777777" w:rsidR="00245983" w:rsidRPr="002033A5" w:rsidRDefault="00000000">
            <w:pPr>
              <w:jc w:val="center"/>
              <w:rPr>
                <w:bCs/>
                <w:sz w:val="24"/>
                <w:szCs w:val="24"/>
              </w:rPr>
            </w:pPr>
            <w:sdt>
              <w:sdtPr>
                <w:rPr>
                  <w:sz w:val="24"/>
                  <w:szCs w:val="24"/>
                </w:rPr>
                <w:id w:val="2087338521"/>
                <w:date>
                  <w:dateFormat w:val="dd/MM/yyyy"/>
                  <w:lid w:val="en-GB"/>
                  <w:storeMappedDataAs w:val="dateTime"/>
                  <w:calendar w:val="gregorian"/>
                </w:date>
              </w:sdtPr>
              <w:sdtContent>
                <w:r w:rsidR="00872FCA" w:rsidRPr="002033A5">
                  <w:rPr>
                    <w:sz w:val="24"/>
                    <w:szCs w:val="24"/>
                  </w:rPr>
                  <w:t>Cliquez ici pour indiquer une date.</w:t>
                </w:r>
              </w:sdtContent>
            </w:sdt>
          </w:p>
        </w:tc>
      </w:tr>
      <w:tr w:rsidR="00245983" w:rsidRPr="002033A5" w14:paraId="1C44E7AE"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72EFD53" w14:textId="77777777" w:rsidR="00245983" w:rsidRPr="002033A5" w:rsidRDefault="00872FCA" w:rsidP="005B5582">
            <w:pPr>
              <w:rPr>
                <w:sz w:val="24"/>
                <w:szCs w:val="24"/>
              </w:rPr>
            </w:pPr>
            <w:r w:rsidRPr="002033A5">
              <w:rPr>
                <w:b/>
                <w:bCs/>
                <w:sz w:val="24"/>
                <w:szCs w:val="24"/>
              </w:rPr>
              <w:t xml:space="preserve">Numéro de la demande de </w:t>
            </w:r>
            <w:r w:rsidR="005B5582" w:rsidRPr="002033A5">
              <w:rPr>
                <w:b/>
                <w:bCs/>
                <w:sz w:val="24"/>
                <w:szCs w:val="24"/>
              </w:rPr>
              <w:t>cotation </w:t>
            </w:r>
            <w:r w:rsidRPr="002033A5">
              <w:rPr>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0B93577" w14:textId="4F6E2413" w:rsidR="00245983" w:rsidRPr="002033A5" w:rsidRDefault="00872FCA" w:rsidP="001B0C5B">
            <w:pPr>
              <w:jc w:val="center"/>
              <w:rPr>
                <w:bCs/>
                <w:sz w:val="24"/>
                <w:szCs w:val="24"/>
                <w:lang w:val="es-ES"/>
              </w:rPr>
            </w:pPr>
            <w:r w:rsidRPr="002033A5">
              <w:rPr>
                <w:sz w:val="24"/>
                <w:szCs w:val="24"/>
              </w:rPr>
              <w:t>UNFPA/</w:t>
            </w:r>
            <w:r w:rsidR="004D3AD4" w:rsidRPr="002033A5">
              <w:rPr>
                <w:sz w:val="24"/>
                <w:szCs w:val="24"/>
              </w:rPr>
              <w:t>HTI</w:t>
            </w:r>
            <w:r w:rsidRPr="002033A5">
              <w:rPr>
                <w:sz w:val="24"/>
                <w:szCs w:val="24"/>
              </w:rPr>
              <w:t>/RFQ/</w:t>
            </w:r>
            <w:r w:rsidR="001B0C5B" w:rsidRPr="002033A5">
              <w:rPr>
                <w:sz w:val="24"/>
                <w:szCs w:val="24"/>
              </w:rPr>
              <w:t>23</w:t>
            </w:r>
            <w:r w:rsidR="00FF23CE">
              <w:rPr>
                <w:sz w:val="24"/>
                <w:szCs w:val="24"/>
              </w:rPr>
              <w:t>/031</w:t>
            </w:r>
          </w:p>
        </w:tc>
      </w:tr>
      <w:tr w:rsidR="00245983" w:rsidRPr="002033A5" w14:paraId="0486E53F"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1A78C2B3" w14:textId="77777777" w:rsidR="00245983" w:rsidRPr="002033A5" w:rsidRDefault="00872FCA" w:rsidP="005B5582">
            <w:pPr>
              <w:rPr>
                <w:sz w:val="24"/>
                <w:szCs w:val="24"/>
              </w:rPr>
            </w:pPr>
            <w:r w:rsidRPr="002033A5">
              <w:rPr>
                <w:b/>
                <w:bCs/>
                <w:sz w:val="24"/>
                <w:szCs w:val="24"/>
              </w:rPr>
              <w:t xml:space="preserve">Devise </w:t>
            </w:r>
            <w:r w:rsidR="005B5582" w:rsidRPr="002033A5">
              <w:rPr>
                <w:b/>
                <w:bCs/>
                <w:sz w:val="24"/>
                <w:szCs w:val="24"/>
              </w:rPr>
              <w:t>de la cotation</w:t>
            </w:r>
            <w:r w:rsidRPr="002033A5">
              <w:rPr>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5D20141" w14:textId="77777777" w:rsidR="00245983" w:rsidRPr="002033A5" w:rsidRDefault="00561AC9">
            <w:pPr>
              <w:jc w:val="center"/>
              <w:rPr>
                <w:bCs/>
                <w:sz w:val="24"/>
                <w:szCs w:val="24"/>
              </w:rPr>
            </w:pPr>
            <w:r w:rsidRPr="002033A5">
              <w:rPr>
                <w:bCs/>
                <w:sz w:val="24"/>
                <w:szCs w:val="24"/>
              </w:rPr>
              <w:t>GDES</w:t>
            </w:r>
          </w:p>
        </w:tc>
      </w:tr>
      <w:tr w:rsidR="00245983" w:rsidRPr="002033A5" w14:paraId="05D1C580"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6155211" w14:textId="77777777" w:rsidR="00245983" w:rsidRPr="002033A5" w:rsidRDefault="00872FCA">
            <w:pPr>
              <w:rPr>
                <w:sz w:val="24"/>
                <w:szCs w:val="24"/>
              </w:rPr>
            </w:pPr>
            <w:r w:rsidRPr="002033A5">
              <w:rPr>
                <w:b/>
                <w:bCs/>
                <w:sz w:val="24"/>
                <w:szCs w:val="24"/>
              </w:rPr>
              <w:t xml:space="preserve">Durée de validité </w:t>
            </w:r>
            <w:r w:rsidR="005B5582" w:rsidRPr="002033A5">
              <w:rPr>
                <w:b/>
                <w:bCs/>
                <w:sz w:val="24"/>
                <w:szCs w:val="24"/>
              </w:rPr>
              <w:t>de la cotation</w:t>
            </w:r>
            <w:r w:rsidRPr="002033A5">
              <w:rPr>
                <w:b/>
                <w:bCs/>
                <w:sz w:val="24"/>
                <w:szCs w:val="24"/>
              </w:rPr>
              <w:t> :</w:t>
            </w:r>
          </w:p>
          <w:p w14:paraId="3AFA2826" w14:textId="77777777" w:rsidR="00245983" w:rsidRPr="002033A5" w:rsidRDefault="00872FCA" w:rsidP="005B5582">
            <w:pPr>
              <w:jc w:val="both"/>
              <w:rPr>
                <w:b/>
                <w:bCs/>
                <w:i/>
                <w:sz w:val="24"/>
                <w:szCs w:val="24"/>
              </w:rPr>
            </w:pPr>
            <w:r w:rsidRPr="002033A5">
              <w:rPr>
                <w:i/>
                <w:iCs/>
                <w:sz w:val="24"/>
                <w:szCs w:val="24"/>
              </w:rPr>
              <w:t>(</w:t>
            </w:r>
            <w:r w:rsidR="005B5582" w:rsidRPr="002033A5">
              <w:rPr>
                <w:i/>
                <w:iCs/>
                <w:sz w:val="24"/>
                <w:szCs w:val="24"/>
              </w:rPr>
              <w:t>la cotation</w:t>
            </w:r>
            <w:r w:rsidRPr="002033A5">
              <w:rPr>
                <w:i/>
                <w:iCs/>
                <w:sz w:val="24"/>
                <w:szCs w:val="24"/>
              </w:rPr>
              <w:t xml:space="preserve"> doit être valide pour une période d’au moins trois mois</w:t>
            </w:r>
            <w:r w:rsidRPr="002033A5">
              <w:rPr>
                <w:i/>
                <w:sz w:val="24"/>
                <w:szCs w:val="24"/>
              </w:rPr>
              <w:t xml:space="preserve"> </w:t>
            </w:r>
            <w:r w:rsidRPr="002033A5">
              <w:rPr>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9E308B5" w14:textId="77777777" w:rsidR="00245983" w:rsidRPr="002033A5" w:rsidRDefault="00245983">
            <w:pPr>
              <w:jc w:val="center"/>
              <w:rPr>
                <w:bCs/>
                <w:sz w:val="24"/>
                <w:szCs w:val="24"/>
              </w:rPr>
            </w:pPr>
          </w:p>
        </w:tc>
      </w:tr>
    </w:tbl>
    <w:p w14:paraId="5B926663" w14:textId="77777777" w:rsidR="00245983" w:rsidRPr="002033A5" w:rsidRDefault="00245983">
      <w:pPr>
        <w:pStyle w:val="Title"/>
        <w:jc w:val="left"/>
        <w:rPr>
          <w:b w:val="0"/>
          <w:szCs w:val="24"/>
          <w:u w:val="none"/>
        </w:rPr>
      </w:pPr>
    </w:p>
    <w:p w14:paraId="1A6EC839" w14:textId="77777777" w:rsidR="00245983" w:rsidRPr="002033A5" w:rsidRDefault="00245983">
      <w:pPr>
        <w:pStyle w:val="Title"/>
        <w:jc w:val="left"/>
        <w:rPr>
          <w:b w:val="0"/>
          <w:szCs w:val="24"/>
          <w:u w:val="none"/>
        </w:rPr>
      </w:pPr>
    </w:p>
    <w:tbl>
      <w:tblPr>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60"/>
        <w:gridCol w:w="2858"/>
        <w:gridCol w:w="1400"/>
        <w:gridCol w:w="1230"/>
        <w:gridCol w:w="1230"/>
        <w:gridCol w:w="1230"/>
        <w:gridCol w:w="1231"/>
      </w:tblGrid>
      <w:tr w:rsidR="00245983" w:rsidRPr="002033A5" w14:paraId="5BD6286B" w14:textId="77777777">
        <w:trPr>
          <w:trHeight w:val="595"/>
          <w:jc w:val="center"/>
        </w:trPr>
        <w:tc>
          <w:tcPr>
            <w:tcW w:w="10138" w:type="dxa"/>
            <w:gridSpan w:val="7"/>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14:paraId="2703E789" w14:textId="77777777" w:rsidR="00245983" w:rsidRPr="002033A5" w:rsidRDefault="005B5582">
            <w:pPr>
              <w:jc w:val="center"/>
              <w:rPr>
                <w:sz w:val="24"/>
                <w:szCs w:val="24"/>
              </w:rPr>
            </w:pPr>
            <w:r w:rsidRPr="002033A5">
              <w:rPr>
                <w:b/>
                <w:bCs/>
                <w:color w:val="000000"/>
                <w:sz w:val="24"/>
                <w:szCs w:val="24"/>
              </w:rPr>
              <w:t>Bordereau de prix</w:t>
            </w:r>
          </w:p>
        </w:tc>
      </w:tr>
      <w:tr w:rsidR="00245983" w:rsidRPr="002033A5" w14:paraId="0F6B0230" w14:textId="77777777">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1D96CCF" w14:textId="77777777" w:rsidR="00245983" w:rsidRPr="002033A5" w:rsidRDefault="00872FCA">
            <w:pPr>
              <w:jc w:val="center"/>
              <w:rPr>
                <w:sz w:val="24"/>
                <w:szCs w:val="24"/>
              </w:rPr>
            </w:pPr>
            <w:r w:rsidRPr="002033A5">
              <w:rPr>
                <w:sz w:val="24"/>
                <w:szCs w:val="24"/>
              </w:rPr>
              <w:t>Article</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D30162B" w14:textId="77777777" w:rsidR="00245983" w:rsidRPr="002033A5" w:rsidRDefault="00872FCA">
            <w:pPr>
              <w:jc w:val="center"/>
              <w:rPr>
                <w:sz w:val="24"/>
                <w:szCs w:val="24"/>
              </w:rPr>
            </w:pPr>
            <w:r w:rsidRPr="002033A5">
              <w:rPr>
                <w:sz w:val="24"/>
                <w:szCs w:val="24"/>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8CF48B6" w14:textId="77777777" w:rsidR="00245983" w:rsidRPr="002033A5" w:rsidRDefault="00872FCA">
            <w:pPr>
              <w:jc w:val="center"/>
              <w:rPr>
                <w:sz w:val="24"/>
                <w:szCs w:val="24"/>
              </w:rPr>
            </w:pPr>
            <w:r w:rsidRPr="002033A5">
              <w:rPr>
                <w:sz w:val="24"/>
                <w:szCs w:val="24"/>
              </w:rPr>
              <w:t>UdM</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32546D5" w14:textId="77777777" w:rsidR="00245983" w:rsidRPr="002033A5" w:rsidRDefault="00872FCA">
            <w:pPr>
              <w:jc w:val="center"/>
              <w:rPr>
                <w:sz w:val="24"/>
                <w:szCs w:val="24"/>
              </w:rPr>
            </w:pPr>
            <w:r w:rsidRPr="002033A5">
              <w:rPr>
                <w:sz w:val="24"/>
                <w:szCs w:val="24"/>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81B359D" w14:textId="77777777" w:rsidR="00245983" w:rsidRPr="002033A5" w:rsidRDefault="00872FCA">
            <w:pPr>
              <w:jc w:val="center"/>
              <w:rPr>
                <w:sz w:val="24"/>
                <w:szCs w:val="24"/>
              </w:rPr>
            </w:pPr>
            <w:r w:rsidRPr="002033A5">
              <w:rPr>
                <w:sz w:val="24"/>
                <w:szCs w:val="24"/>
              </w:rPr>
              <w:t>Nombre d’unités</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6E4B8E1" w14:textId="77777777" w:rsidR="00245983" w:rsidRPr="002033A5" w:rsidRDefault="00872FCA">
            <w:pPr>
              <w:jc w:val="center"/>
              <w:rPr>
                <w:sz w:val="24"/>
                <w:szCs w:val="24"/>
              </w:rPr>
            </w:pPr>
            <w:r w:rsidRPr="002033A5">
              <w:rPr>
                <w:sz w:val="24"/>
                <w:szCs w:val="24"/>
              </w:rPr>
              <w:t xml:space="preserve">Total </w:t>
            </w:r>
          </w:p>
          <w:p w14:paraId="2F955858" w14:textId="77777777" w:rsidR="00245983" w:rsidRPr="002033A5" w:rsidRDefault="00561AC9">
            <w:pPr>
              <w:jc w:val="center"/>
              <w:rPr>
                <w:sz w:val="24"/>
                <w:szCs w:val="24"/>
              </w:rPr>
            </w:pPr>
            <w:r w:rsidRPr="002033A5">
              <w:rPr>
                <w:sz w:val="24"/>
                <w:szCs w:val="24"/>
              </w:rPr>
              <w:t>(GDES</w:t>
            </w:r>
            <w:r w:rsidR="00872FCA" w:rsidRPr="002033A5">
              <w:rPr>
                <w:sz w:val="24"/>
                <w:szCs w:val="24"/>
              </w:rPr>
              <w:t>)</w:t>
            </w:r>
          </w:p>
        </w:tc>
      </w:tr>
      <w:tr w:rsidR="00245983" w:rsidRPr="002033A5" w14:paraId="1AAA2F0B"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F933A" w14:textId="77777777" w:rsidR="00245983" w:rsidRPr="002033A5" w:rsidRDefault="00872FCA">
            <w:pPr>
              <w:spacing w:before="60" w:after="60"/>
              <w:jc w:val="center"/>
              <w:rPr>
                <w:sz w:val="24"/>
                <w:szCs w:val="24"/>
              </w:rPr>
            </w:pPr>
            <w:r w:rsidRPr="002033A5">
              <w:rPr>
                <w:sz w:val="24"/>
                <w:szCs w:val="24"/>
              </w:rPr>
              <w:t>1</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FFDCDA"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C88DA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F469C"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4D41E" w14:textId="77777777" w:rsidR="00245983" w:rsidRPr="002033A5" w:rsidRDefault="00245983">
            <w:pPr>
              <w:spacing w:before="60" w:after="60"/>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A7011" w14:textId="77777777" w:rsidR="00245983" w:rsidRPr="002033A5" w:rsidRDefault="00245983">
            <w:pPr>
              <w:spacing w:before="60" w:after="60"/>
              <w:rPr>
                <w:sz w:val="24"/>
                <w:szCs w:val="24"/>
              </w:rPr>
            </w:pPr>
          </w:p>
        </w:tc>
      </w:tr>
      <w:tr w:rsidR="00245983" w:rsidRPr="002033A5" w14:paraId="1B22D40E"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B7DEF" w14:textId="77777777" w:rsidR="00245983" w:rsidRPr="002033A5" w:rsidRDefault="00872FCA">
            <w:pPr>
              <w:spacing w:before="60" w:after="60"/>
              <w:jc w:val="center"/>
              <w:rPr>
                <w:sz w:val="24"/>
                <w:szCs w:val="24"/>
              </w:rPr>
            </w:pPr>
            <w:r w:rsidRPr="002033A5">
              <w:rPr>
                <w:sz w:val="24"/>
                <w:szCs w:val="24"/>
              </w:rPr>
              <w:t>2</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7AF17F"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F6D6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64E136"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09175"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79223A" w14:textId="77777777" w:rsidR="00245983" w:rsidRPr="002033A5" w:rsidRDefault="00245983">
            <w:pPr>
              <w:spacing w:before="60" w:after="60"/>
              <w:rPr>
                <w:sz w:val="24"/>
                <w:szCs w:val="24"/>
              </w:rPr>
            </w:pPr>
          </w:p>
        </w:tc>
      </w:tr>
      <w:tr w:rsidR="00245983" w:rsidRPr="002033A5" w14:paraId="2529DFD3"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2DCD6B" w14:textId="77777777" w:rsidR="00245983" w:rsidRPr="002033A5" w:rsidRDefault="00872FCA">
            <w:pPr>
              <w:spacing w:before="60" w:after="60"/>
              <w:jc w:val="center"/>
              <w:rPr>
                <w:sz w:val="24"/>
                <w:szCs w:val="24"/>
              </w:rPr>
            </w:pPr>
            <w:r w:rsidRPr="002033A5">
              <w:rPr>
                <w:sz w:val="24"/>
                <w:szCs w:val="24"/>
              </w:rPr>
              <w:t>3</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E3B6A"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A3E87" w14:textId="77777777" w:rsidR="00245983" w:rsidRPr="002033A5" w:rsidRDefault="00245983">
            <w:pPr>
              <w:pStyle w:val="letter"/>
              <w:jc w:val="cen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DA5E5"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422EC3"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08D040" w14:textId="77777777" w:rsidR="00245983" w:rsidRPr="002033A5" w:rsidRDefault="00245983">
            <w:pPr>
              <w:spacing w:before="60" w:after="60"/>
              <w:rPr>
                <w:sz w:val="24"/>
                <w:szCs w:val="24"/>
              </w:rPr>
            </w:pPr>
          </w:p>
        </w:tc>
      </w:tr>
      <w:tr w:rsidR="00245983" w:rsidRPr="002033A5" w14:paraId="6808736F"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7C5A72" w14:textId="77777777" w:rsidR="00245983" w:rsidRPr="002033A5" w:rsidRDefault="00872FCA">
            <w:pPr>
              <w:spacing w:before="60" w:after="60"/>
              <w:jc w:val="center"/>
              <w:rPr>
                <w:sz w:val="24"/>
                <w:szCs w:val="24"/>
              </w:rPr>
            </w:pPr>
            <w:r w:rsidRPr="002033A5">
              <w:rPr>
                <w:sz w:val="24"/>
                <w:szCs w:val="24"/>
              </w:rPr>
              <w:t>4</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6BB7B"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731F06" w14:textId="77777777" w:rsidR="00245983" w:rsidRPr="002033A5" w:rsidRDefault="00245983">
            <w:pPr>
              <w:pStyle w:val="letter"/>
              <w:rPr>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79EBA4" w14:textId="77777777" w:rsidR="00245983" w:rsidRPr="002033A5" w:rsidRDefault="0024598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51D0D7" w14:textId="77777777" w:rsidR="00245983" w:rsidRPr="002033A5" w:rsidRDefault="00245983">
            <w:pPr>
              <w:spacing w:before="60" w:after="60"/>
              <w:jc w:val="center"/>
              <w:rPr>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58EE9" w14:textId="77777777" w:rsidR="00245983" w:rsidRPr="002033A5" w:rsidRDefault="00245983">
            <w:pPr>
              <w:spacing w:before="60" w:after="60"/>
              <w:rPr>
                <w:sz w:val="24"/>
                <w:szCs w:val="24"/>
              </w:rPr>
            </w:pPr>
          </w:p>
        </w:tc>
      </w:tr>
      <w:tr w:rsidR="00245983" w:rsidRPr="002033A5" w14:paraId="119CF6D5" w14:textId="77777777">
        <w:trPr>
          <w:trHeight w:val="323"/>
          <w:jc w:val="center"/>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414DA8" w14:textId="77777777" w:rsidR="00245983" w:rsidRPr="002033A5" w:rsidRDefault="00872FCA">
            <w:pPr>
              <w:spacing w:before="60" w:after="60"/>
              <w:jc w:val="center"/>
              <w:rPr>
                <w:sz w:val="24"/>
                <w:szCs w:val="24"/>
              </w:rPr>
            </w:pPr>
            <w:r w:rsidRPr="002033A5">
              <w:rPr>
                <w:sz w:val="24"/>
                <w:szCs w:val="24"/>
              </w:rPr>
              <w:t>5</w:t>
            </w:r>
          </w:p>
        </w:tc>
        <w:tc>
          <w:tcPr>
            <w:tcW w:w="2858" w:type="dxa"/>
            <w:tcBorders>
              <w:top w:val="single" w:sz="4" w:space="0" w:color="00000A"/>
              <w:left w:val="single" w:sz="4" w:space="0" w:color="00000A"/>
              <w:bottom w:val="single" w:sz="4" w:space="0" w:color="00000A"/>
            </w:tcBorders>
            <w:shd w:val="clear" w:color="auto" w:fill="auto"/>
            <w:tcMar>
              <w:left w:w="108" w:type="dxa"/>
            </w:tcMar>
            <w:vAlign w:val="center"/>
          </w:tcPr>
          <w:p w14:paraId="0F4CE1D4" w14:textId="77777777" w:rsidR="00245983" w:rsidRPr="002033A5" w:rsidRDefault="00245983">
            <w:pPr>
              <w:rPr>
                <w:bCs/>
                <w:sz w:val="24"/>
                <w:szCs w:val="24"/>
              </w:rPr>
            </w:pPr>
          </w:p>
        </w:tc>
        <w:tc>
          <w:tcPr>
            <w:tcW w:w="1399" w:type="dxa"/>
            <w:tcBorders>
              <w:top w:val="single" w:sz="4" w:space="0" w:color="00000A"/>
              <w:bottom w:val="single" w:sz="4" w:space="0" w:color="00000A"/>
              <w:right w:val="single" w:sz="4" w:space="0" w:color="00000A"/>
            </w:tcBorders>
            <w:shd w:val="clear" w:color="auto" w:fill="auto"/>
            <w:vAlign w:val="center"/>
          </w:tcPr>
          <w:p w14:paraId="1380338C" w14:textId="77777777" w:rsidR="00245983" w:rsidRPr="002033A5" w:rsidRDefault="00245983">
            <w:pPr>
              <w:jc w:val="center"/>
              <w:rPr>
                <w:sz w:val="24"/>
                <w:szCs w:val="24"/>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637CF" w14:textId="77777777" w:rsidR="00245983" w:rsidRPr="002033A5" w:rsidRDefault="00872FCA">
            <w:pPr>
              <w:spacing w:before="60" w:after="60"/>
              <w:jc w:val="center"/>
              <w:rPr>
                <w:sz w:val="24"/>
                <w:szCs w:val="24"/>
              </w:rPr>
            </w:pPr>
            <w:r w:rsidRPr="002033A5">
              <w:rPr>
                <w:sz w:val="24"/>
                <w:szCs w:val="24"/>
              </w:rPr>
              <w:t>Chacun</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7D1A5" w14:textId="77777777" w:rsidR="00245983" w:rsidRPr="002033A5" w:rsidRDefault="00245983">
            <w:pPr>
              <w:spacing w:before="60" w:after="60"/>
              <w:rPr>
                <w:sz w:val="24"/>
                <w:szCs w:val="24"/>
                <w:highlight w:val="yellow"/>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9291CB" w14:textId="77777777" w:rsidR="00245983" w:rsidRPr="002033A5" w:rsidRDefault="00245983">
            <w:pPr>
              <w:spacing w:before="60" w:after="60"/>
              <w:jc w:val="center"/>
              <w:rPr>
                <w:sz w:val="24"/>
                <w:szCs w:val="24"/>
              </w:rPr>
            </w:pPr>
          </w:p>
        </w:tc>
        <w:tc>
          <w:tcPr>
            <w:tcW w:w="12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EFCD1F" w14:textId="77777777" w:rsidR="00245983" w:rsidRPr="002033A5" w:rsidRDefault="00245983">
            <w:pPr>
              <w:spacing w:before="60" w:after="60"/>
              <w:rPr>
                <w:sz w:val="24"/>
                <w:szCs w:val="24"/>
              </w:rPr>
            </w:pPr>
          </w:p>
        </w:tc>
      </w:tr>
      <w:tr w:rsidR="00245983" w:rsidRPr="002033A5" w14:paraId="775611D8" w14:textId="77777777">
        <w:trPr>
          <w:trHeight w:val="323"/>
          <w:jc w:val="center"/>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5F151" w14:textId="77777777" w:rsidR="00245983" w:rsidRPr="002033A5" w:rsidRDefault="00245983">
            <w:pPr>
              <w:spacing w:before="60" w:after="60"/>
              <w:jc w:val="center"/>
              <w:rPr>
                <w:sz w:val="24"/>
                <w:szCs w:val="24"/>
              </w:rPr>
            </w:pP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F78325" w14:textId="77777777" w:rsidR="00245983" w:rsidRPr="002033A5" w:rsidRDefault="00245983">
            <w:pPr>
              <w:jc w:val="right"/>
              <w:rPr>
                <w:bCs/>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6F10A9" w14:textId="77777777" w:rsidR="00245983" w:rsidRPr="002033A5" w:rsidRDefault="00245983">
            <w:pPr>
              <w:spacing w:before="60" w:after="60"/>
              <w:jc w:val="center"/>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F04A7" w14:textId="77777777" w:rsidR="00245983" w:rsidRPr="002033A5" w:rsidRDefault="00245983">
            <w:pPr>
              <w:spacing w:before="60" w:after="60"/>
              <w:rPr>
                <w:sz w:val="24"/>
                <w:szCs w:val="24"/>
                <w:highlight w:val="yellow"/>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24BAA" w14:textId="77777777" w:rsidR="00245983" w:rsidRPr="002033A5" w:rsidRDefault="00245983">
            <w:pPr>
              <w:spacing w:before="60" w:after="60"/>
              <w:jc w:val="center"/>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DDA028" w14:textId="77777777" w:rsidR="00245983" w:rsidRPr="002033A5" w:rsidRDefault="00245983">
            <w:pPr>
              <w:spacing w:before="60" w:after="60"/>
              <w:rPr>
                <w:sz w:val="24"/>
                <w:szCs w:val="24"/>
              </w:rPr>
            </w:pPr>
          </w:p>
        </w:tc>
      </w:tr>
      <w:tr w:rsidR="00245983" w:rsidRPr="002033A5" w14:paraId="60929223" w14:textId="77777777">
        <w:trPr>
          <w:trHeight w:val="323"/>
          <w:jc w:val="center"/>
        </w:trPr>
        <w:tc>
          <w:tcPr>
            <w:tcW w:w="890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F77A37" w14:textId="77777777" w:rsidR="00245983" w:rsidRPr="002033A5" w:rsidRDefault="00872FCA">
            <w:pPr>
              <w:spacing w:before="60" w:after="60"/>
              <w:jc w:val="right"/>
              <w:rPr>
                <w:sz w:val="24"/>
                <w:szCs w:val="24"/>
              </w:rPr>
            </w:pPr>
            <w:r w:rsidRPr="002033A5">
              <w:rPr>
                <w:sz w:val="24"/>
                <w:szCs w:val="24"/>
              </w:rPr>
              <w:t>TOTAL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85571" w14:textId="77777777" w:rsidR="00245983" w:rsidRPr="002033A5" w:rsidRDefault="00245983">
            <w:pPr>
              <w:spacing w:before="60" w:after="60"/>
              <w:rPr>
                <w:sz w:val="24"/>
                <w:szCs w:val="24"/>
              </w:rPr>
            </w:pPr>
          </w:p>
        </w:tc>
      </w:tr>
    </w:tbl>
    <w:p w14:paraId="71FD2A7E" w14:textId="77777777" w:rsidR="00245983" w:rsidRPr="002033A5" w:rsidRDefault="00245983">
      <w:pPr>
        <w:rPr>
          <w:b/>
          <w:bCs/>
          <w:sz w:val="24"/>
          <w:szCs w:val="24"/>
        </w:rPr>
      </w:pPr>
    </w:p>
    <w:p w14:paraId="1854258D" w14:textId="77777777" w:rsidR="00245983" w:rsidRPr="002033A5" w:rsidRDefault="00872FCA">
      <w:pPr>
        <w:tabs>
          <w:tab w:val="left" w:pos="0"/>
          <w:tab w:val="right" w:pos="1980"/>
          <w:tab w:val="left" w:pos="2160"/>
          <w:tab w:val="left" w:pos="4320"/>
        </w:tabs>
        <w:rPr>
          <w:b/>
          <w:bCs/>
          <w:sz w:val="24"/>
          <w:szCs w:val="24"/>
        </w:rPr>
      </w:pPr>
      <w:r w:rsidRPr="002033A5">
        <w:rPr>
          <w:b/>
          <w:bCs/>
          <w:noProof/>
          <w:sz w:val="24"/>
          <w:szCs w:val="24"/>
          <w:lang w:val="en-US"/>
        </w:rPr>
        <mc:AlternateContent>
          <mc:Choice Requires="wps">
            <w:drawing>
              <wp:anchor distT="0" distB="0" distL="114300" distR="113665" simplePos="0" relativeHeight="251656704" behindDoc="0" locked="0" layoutInCell="1" allowOverlap="1" wp14:anchorId="2B5461ED" wp14:editId="5F3D7EFD">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28DBCE41" w14:textId="77777777" w:rsidR="009C2C3A" w:rsidRDefault="009C2C3A">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w14:anchorId="2B5461ED" id="Text Box 1" o:spid="_x0000_s1027" style="position:absolute;margin-left:0;margin-top:4.1pt;width:486.65pt;height:54.05pt;z-index:25165670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" filled="f" strokeweight=".26mm">
                <v:textbox>
                  <w:txbxContent>
                    <w:p w14:paraId="28DBCE41" w14:textId="77777777" w:rsidR="009C2C3A" w:rsidRDefault="009C2C3A">
                      <w:pPr>
                        <w:pStyle w:val="FrameContents"/>
                      </w:pPr>
                      <w:r>
                        <w:rPr>
                          <w:rFonts w:ascii="Calibri" w:hAnsi="Calibri" w:cs="Calibri"/>
                          <w:i/>
                          <w:iCs/>
                        </w:rPr>
                        <w:t>Commentaires du vendeur</w:t>
                      </w:r>
                      <w:r>
                        <w:rPr>
                          <w:i/>
                          <w:iCs/>
                        </w:rPr>
                        <w:t>:</w:t>
                      </w:r>
                    </w:p>
                  </w:txbxContent>
                </v:textbox>
              </v:rect>
            </w:pict>
          </mc:Fallback>
        </mc:AlternateContent>
      </w:r>
    </w:p>
    <w:p w14:paraId="6F315CC6" w14:textId="77777777" w:rsidR="00245983" w:rsidRPr="002033A5" w:rsidRDefault="00245983">
      <w:pPr>
        <w:tabs>
          <w:tab w:val="left" w:pos="0"/>
          <w:tab w:val="right" w:pos="1980"/>
          <w:tab w:val="left" w:pos="2160"/>
          <w:tab w:val="left" w:pos="4320"/>
        </w:tabs>
        <w:rPr>
          <w:b/>
          <w:bCs/>
          <w:sz w:val="24"/>
          <w:szCs w:val="24"/>
        </w:rPr>
      </w:pPr>
    </w:p>
    <w:p w14:paraId="53C10DDE" w14:textId="77777777" w:rsidR="00245983" w:rsidRPr="002033A5" w:rsidRDefault="00245983">
      <w:pPr>
        <w:tabs>
          <w:tab w:val="left" w:pos="0"/>
          <w:tab w:val="right" w:pos="1980"/>
          <w:tab w:val="left" w:pos="2160"/>
          <w:tab w:val="left" w:pos="4320"/>
        </w:tabs>
        <w:rPr>
          <w:b/>
          <w:bCs/>
          <w:sz w:val="24"/>
          <w:szCs w:val="24"/>
        </w:rPr>
      </w:pPr>
    </w:p>
    <w:p w14:paraId="303DD3E4" w14:textId="77777777" w:rsidR="00245983" w:rsidRPr="002033A5" w:rsidRDefault="00245983">
      <w:pPr>
        <w:tabs>
          <w:tab w:val="left" w:pos="0"/>
          <w:tab w:val="right" w:pos="1980"/>
          <w:tab w:val="left" w:pos="2160"/>
          <w:tab w:val="left" w:pos="4320"/>
        </w:tabs>
        <w:rPr>
          <w:b/>
          <w:bCs/>
          <w:sz w:val="24"/>
          <w:szCs w:val="24"/>
        </w:rPr>
      </w:pPr>
    </w:p>
    <w:p w14:paraId="4EF6AE4A" w14:textId="77777777" w:rsidR="00245983" w:rsidRPr="002033A5" w:rsidRDefault="00245983">
      <w:pPr>
        <w:tabs>
          <w:tab w:val="left" w:pos="0"/>
          <w:tab w:val="right" w:pos="1980"/>
          <w:tab w:val="left" w:pos="2160"/>
          <w:tab w:val="left" w:pos="4320"/>
        </w:tabs>
        <w:rPr>
          <w:b/>
          <w:bCs/>
          <w:sz w:val="24"/>
          <w:szCs w:val="24"/>
        </w:rPr>
      </w:pPr>
    </w:p>
    <w:p w14:paraId="68892C44" w14:textId="41ABA3A1" w:rsidR="00245983" w:rsidRPr="002033A5" w:rsidRDefault="00872FCA">
      <w:pPr>
        <w:pStyle w:val="ListParagraph"/>
        <w:tabs>
          <w:tab w:val="left" w:pos="851"/>
        </w:tabs>
        <w:overflowPunct w:val="0"/>
        <w:spacing w:line="276" w:lineRule="auto"/>
        <w:ind w:left="0"/>
        <w:contextualSpacing/>
        <w:jc w:val="both"/>
        <w:textAlignment w:val="auto"/>
        <w:rPr>
          <w:sz w:val="24"/>
          <w:szCs w:val="24"/>
        </w:rPr>
      </w:pPr>
      <w:r w:rsidRPr="002033A5">
        <w:rPr>
          <w:sz w:val="24"/>
          <w:szCs w:val="24"/>
        </w:rPr>
        <w:t xml:space="preserve">Je certifie par la présente que la société mentionnée ci-dessus, au nom de laquelle je suis dûment autorisé à signer, a examiné la </w:t>
      </w:r>
      <w:r w:rsidR="005B5582" w:rsidRPr="002033A5">
        <w:rPr>
          <w:sz w:val="24"/>
          <w:szCs w:val="24"/>
        </w:rPr>
        <w:t xml:space="preserve">Demande de Cotation </w:t>
      </w:r>
      <w:r w:rsidRPr="002033A5">
        <w:rPr>
          <w:b/>
          <w:sz w:val="24"/>
          <w:szCs w:val="24"/>
        </w:rPr>
        <w:t>UNFPA/</w:t>
      </w:r>
      <w:r w:rsidR="00EC5C1A" w:rsidRPr="002033A5">
        <w:rPr>
          <w:b/>
          <w:sz w:val="24"/>
          <w:szCs w:val="24"/>
        </w:rPr>
        <w:t>HTI</w:t>
      </w:r>
      <w:r w:rsidRPr="002033A5">
        <w:rPr>
          <w:b/>
          <w:sz w:val="24"/>
          <w:szCs w:val="24"/>
        </w:rPr>
        <w:t>/RFQ/</w:t>
      </w:r>
      <w:r w:rsidR="001B0C5B" w:rsidRPr="002033A5">
        <w:rPr>
          <w:b/>
          <w:sz w:val="24"/>
          <w:szCs w:val="24"/>
        </w:rPr>
        <w:t>23</w:t>
      </w:r>
      <w:r w:rsidRPr="002033A5">
        <w:rPr>
          <w:b/>
          <w:sz w:val="24"/>
          <w:szCs w:val="24"/>
        </w:rPr>
        <w:t>/</w:t>
      </w:r>
      <w:r w:rsidR="00FF23CE">
        <w:rPr>
          <w:b/>
          <w:sz w:val="24"/>
          <w:szCs w:val="24"/>
        </w:rPr>
        <w:t>031</w:t>
      </w:r>
      <w:r w:rsidRPr="002033A5">
        <w:rPr>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rsidRPr="002033A5" w14:paraId="7216FBF1"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71740F4E" w14:textId="77777777" w:rsidR="00245983" w:rsidRPr="002033A5" w:rsidRDefault="00245983">
            <w:pPr>
              <w:tabs>
                <w:tab w:val="left" w:pos="0"/>
                <w:tab w:val="right" w:pos="1980"/>
                <w:tab w:val="left" w:pos="2160"/>
                <w:tab w:val="left" w:pos="4320"/>
              </w:tabs>
              <w:rPr>
                <w:rFonts w:eastAsia="Calibri"/>
                <w:bCs/>
                <w:sz w:val="24"/>
                <w:szCs w:val="24"/>
              </w:rPr>
            </w:pPr>
          </w:p>
          <w:p w14:paraId="0C7C250A" w14:textId="77777777" w:rsidR="00245983" w:rsidRPr="002033A5" w:rsidRDefault="00245983">
            <w:pPr>
              <w:tabs>
                <w:tab w:val="left" w:pos="0"/>
                <w:tab w:val="right" w:pos="1980"/>
                <w:tab w:val="left" w:pos="2160"/>
                <w:tab w:val="left" w:pos="4320"/>
              </w:tabs>
              <w:rPr>
                <w:rFonts w:eastAsia="Calibri"/>
                <w:bCs/>
                <w:sz w:val="24"/>
                <w:szCs w:val="24"/>
              </w:rPr>
            </w:pPr>
          </w:p>
          <w:p w14:paraId="11A5B44C" w14:textId="77777777" w:rsidR="00245983" w:rsidRPr="002033A5" w:rsidRDefault="00245983">
            <w:pPr>
              <w:tabs>
                <w:tab w:val="left" w:pos="0"/>
                <w:tab w:val="right" w:pos="1980"/>
                <w:tab w:val="left" w:pos="2160"/>
                <w:tab w:val="left" w:pos="4320"/>
              </w:tabs>
              <w:rPr>
                <w:rFonts w:eastAsia="Calibri"/>
                <w:bCs/>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14:paraId="1D027BE9" w14:textId="77777777" w:rsidR="00245983" w:rsidRPr="002033A5" w:rsidRDefault="00000000">
            <w:pPr>
              <w:tabs>
                <w:tab w:val="left" w:pos="0"/>
                <w:tab w:val="right" w:pos="1980"/>
                <w:tab w:val="left" w:pos="2160"/>
                <w:tab w:val="left" w:pos="4320"/>
              </w:tabs>
              <w:jc w:val="center"/>
              <w:rPr>
                <w:rFonts w:eastAsia="Calibri"/>
                <w:bCs/>
                <w:sz w:val="24"/>
                <w:szCs w:val="24"/>
              </w:rPr>
            </w:pPr>
            <w:sdt>
              <w:sdtPr>
                <w:rPr>
                  <w:sz w:val="24"/>
                  <w:szCs w:val="24"/>
                </w:rPr>
                <w:id w:val="874813729"/>
                <w:date>
                  <w:dateFormat w:val="dd/MM/yyyy"/>
                  <w:lid w:val="en-GB"/>
                  <w:storeMappedDataAs w:val="dateTime"/>
                  <w:calendar w:val="gregorian"/>
                </w:date>
              </w:sdtPr>
              <w:sdtContent>
                <w:r w:rsidR="00872FCA" w:rsidRPr="002033A5">
                  <w:rPr>
                    <w:rFonts w:eastAsiaTheme="minorHAnsi"/>
                    <w:sz w:val="24"/>
                    <w:szCs w:val="24"/>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14:paraId="03586B3F" w14:textId="77777777" w:rsidR="00245983" w:rsidRPr="002033A5" w:rsidRDefault="00245983">
            <w:pPr>
              <w:tabs>
                <w:tab w:val="left" w:pos="0"/>
                <w:tab w:val="right" w:pos="1980"/>
                <w:tab w:val="left" w:pos="2160"/>
                <w:tab w:val="left" w:pos="4320"/>
              </w:tabs>
              <w:rPr>
                <w:rFonts w:eastAsia="Calibri"/>
                <w:bCs/>
                <w:sz w:val="24"/>
                <w:szCs w:val="24"/>
              </w:rPr>
            </w:pPr>
          </w:p>
        </w:tc>
      </w:tr>
      <w:tr w:rsidR="00245983" w:rsidRPr="002033A5" w14:paraId="6667D049"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76CC4542" w14:textId="77777777" w:rsidR="00245983" w:rsidRPr="002033A5" w:rsidRDefault="00872FCA">
            <w:pPr>
              <w:tabs>
                <w:tab w:val="left" w:pos="0"/>
                <w:tab w:val="right" w:pos="1980"/>
                <w:tab w:val="left" w:pos="2160"/>
                <w:tab w:val="left" w:pos="4320"/>
              </w:tabs>
              <w:jc w:val="center"/>
              <w:rPr>
                <w:rFonts w:eastAsia="Calibri"/>
                <w:bCs/>
                <w:sz w:val="24"/>
                <w:szCs w:val="24"/>
              </w:rPr>
            </w:pPr>
            <w:r w:rsidRPr="002033A5">
              <w:rPr>
                <w:rFonts w:eastAsia="Calibri"/>
                <w:bCs/>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1589E6CC" w14:textId="77777777" w:rsidR="00245983" w:rsidRPr="002033A5" w:rsidRDefault="00872FCA">
            <w:pPr>
              <w:tabs>
                <w:tab w:val="left" w:pos="0"/>
                <w:tab w:val="right" w:pos="1980"/>
                <w:tab w:val="left" w:pos="2160"/>
                <w:tab w:val="left" w:pos="4320"/>
              </w:tabs>
              <w:jc w:val="center"/>
              <w:rPr>
                <w:rFonts w:eastAsia="Calibri"/>
                <w:bCs/>
                <w:sz w:val="24"/>
                <w:szCs w:val="24"/>
              </w:rPr>
            </w:pPr>
            <w:r w:rsidRPr="002033A5">
              <w:rPr>
                <w:rFonts w:eastAsia="Calibri"/>
                <w:bCs/>
                <w:sz w:val="24"/>
                <w:szCs w:val="24"/>
              </w:rPr>
              <w:t>Date et lieu</w:t>
            </w:r>
          </w:p>
        </w:tc>
      </w:tr>
    </w:tbl>
    <w:p w14:paraId="37AE78DB" w14:textId="77777777" w:rsidR="00245983" w:rsidRPr="002033A5" w:rsidRDefault="00245983">
      <w:pPr>
        <w:rPr>
          <w:sz w:val="24"/>
          <w:szCs w:val="24"/>
        </w:rPr>
      </w:pPr>
    </w:p>
    <w:sectPr w:rsidR="00245983" w:rsidRPr="002033A5" w:rsidSect="00FA30C0">
      <w:headerReference w:type="default" r:id="rId17"/>
      <w:footerReference w:type="default" r:id="rId18"/>
      <w:pgSz w:w="11906" w:h="16838"/>
      <w:pgMar w:top="720" w:right="720" w:bottom="720" w:left="72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C8CD" w14:textId="77777777" w:rsidR="00FD66BF" w:rsidRDefault="00FD66BF">
      <w:r>
        <w:separator/>
      </w:r>
    </w:p>
  </w:endnote>
  <w:endnote w:type="continuationSeparator" w:id="0">
    <w:p w14:paraId="36F96979" w14:textId="77777777" w:rsidR="00FD66BF" w:rsidRDefault="00F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CAC0" w14:textId="77777777" w:rsidR="009C2C3A" w:rsidRPr="00C035CF" w:rsidRDefault="009C2C3A">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C15D" w14:textId="77777777" w:rsidR="00FD66BF" w:rsidRDefault="00FD66BF">
      <w:r>
        <w:separator/>
      </w:r>
    </w:p>
  </w:footnote>
  <w:footnote w:type="continuationSeparator" w:id="0">
    <w:p w14:paraId="5995651F" w14:textId="77777777" w:rsidR="00FD66BF" w:rsidRDefault="00FD66BF">
      <w:r>
        <w:continuationSeparator/>
      </w:r>
    </w:p>
  </w:footnote>
  <w:footnote w:id="1">
    <w:p w14:paraId="05D5855A" w14:textId="77777777" w:rsidR="009C2C3A" w:rsidRDefault="009C2C3A">
      <w:pPr>
        <w:pStyle w:val="FootnoteText"/>
      </w:pPr>
      <w:r>
        <w:rPr>
          <w:rStyle w:val="FootnoteReference"/>
          <w:rFonts w:ascii="Calibri" w:hAnsi="Calibri" w:cs="Calibri"/>
        </w:rPr>
        <w:footnoteRef/>
      </w:r>
      <w:r>
        <w:rPr>
          <w:rStyle w:val="FootnoteReference"/>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1D24" w14:textId="77777777" w:rsidR="009C2C3A" w:rsidRDefault="009C2C3A">
    <w:pPr>
      <w:pStyle w:val="Header"/>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9C2C3A" w:rsidRPr="00C73F28" w14:paraId="0992C624" w14:textId="77777777">
      <w:trPr>
        <w:trHeight w:val="1142"/>
      </w:trPr>
      <w:tc>
        <w:tcPr>
          <w:tcW w:w="4995" w:type="dxa"/>
          <w:tcBorders>
            <w:top w:val="single" w:sz="4" w:space="0" w:color="00000A"/>
            <w:bottom w:val="single" w:sz="4" w:space="0" w:color="00000A"/>
          </w:tcBorders>
          <w:shd w:val="clear" w:color="auto" w:fill="auto"/>
        </w:tcPr>
        <w:p w14:paraId="56BBE7B0" w14:textId="77777777" w:rsidR="009C2C3A" w:rsidRDefault="009C2C3A">
          <w:pPr>
            <w:pStyle w:val="Header"/>
            <w:rPr>
              <w:rFonts w:cs="Arial"/>
              <w:szCs w:val="22"/>
            </w:rPr>
          </w:pPr>
          <w:r>
            <w:rPr>
              <w:noProof/>
              <w:lang w:val="en-US"/>
            </w:rPr>
            <w:drawing>
              <wp:inline distT="0" distB="0" distL="0" distR="0" wp14:anchorId="29CF0AE1" wp14:editId="06E121AC">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14:paraId="01B41D37" w14:textId="77777777" w:rsidR="009C2C3A" w:rsidRDefault="009C2C3A">
          <w:pPr>
            <w:pStyle w:val="Header"/>
            <w:jc w:val="right"/>
            <w:rPr>
              <w:rFonts w:ascii="Calibri" w:hAnsi="Calibri" w:cs="Arial"/>
              <w:sz w:val="18"/>
              <w:szCs w:val="18"/>
            </w:rPr>
          </w:pPr>
          <w:r>
            <w:rPr>
              <w:rFonts w:ascii="Calibri" w:hAnsi="Calibri" w:cs="Arial"/>
              <w:sz w:val="18"/>
              <w:szCs w:val="18"/>
            </w:rPr>
            <w:t>Fonds des Nations Unies pour la Population</w:t>
          </w:r>
        </w:p>
        <w:p w14:paraId="75D16506" w14:textId="77777777" w:rsidR="009C2C3A" w:rsidRDefault="009C2C3A">
          <w:pPr>
            <w:pStyle w:val="Header"/>
            <w:jc w:val="right"/>
            <w:rPr>
              <w:rFonts w:ascii="Calibri" w:hAnsi="Calibri" w:cs="Arial"/>
              <w:sz w:val="18"/>
              <w:szCs w:val="18"/>
            </w:rPr>
          </w:pPr>
          <w:r>
            <w:rPr>
              <w:rFonts w:ascii="Calibri" w:hAnsi="Calibri" w:cs="Arial"/>
              <w:sz w:val="18"/>
              <w:szCs w:val="18"/>
            </w:rPr>
            <w:t>Division des services d'approvisionnement</w:t>
          </w:r>
        </w:p>
        <w:p w14:paraId="7D1D9129" w14:textId="77777777" w:rsidR="009C2C3A" w:rsidRDefault="009C2C3A">
          <w:pPr>
            <w:pStyle w:val="Header"/>
            <w:jc w:val="right"/>
            <w:rPr>
              <w:rFonts w:ascii="Calibri" w:hAnsi="Calibri" w:cs="Arial"/>
              <w:sz w:val="18"/>
              <w:szCs w:val="18"/>
            </w:rPr>
          </w:pPr>
          <w:r>
            <w:rPr>
              <w:rFonts w:ascii="Calibri" w:hAnsi="Calibri" w:cs="Arial"/>
              <w:sz w:val="18"/>
              <w:szCs w:val="18"/>
            </w:rPr>
            <w:t>352, Ave John Brown, Port au Prince , haiti</w:t>
          </w:r>
        </w:p>
        <w:p w14:paraId="7256DE15" w14:textId="77777777" w:rsidR="009C2C3A" w:rsidRPr="00C035CF" w:rsidRDefault="009C2C3A" w:rsidP="004D3AD4">
          <w:pPr>
            <w:pStyle w:val="Header"/>
            <w:jc w:val="right"/>
            <w:rPr>
              <w:rFonts w:cs="Arial"/>
              <w:szCs w:val="22"/>
              <w:lang w:val="en-GB"/>
            </w:rPr>
          </w:pPr>
          <w:r w:rsidRPr="00C035CF">
            <w:rPr>
              <w:rFonts w:ascii="Calibri" w:hAnsi="Calibri" w:cs="Arial"/>
              <w:sz w:val="18"/>
              <w:szCs w:val="18"/>
              <w:lang w:val="en-GB"/>
            </w:rPr>
            <w:t>Site web:</w:t>
          </w:r>
          <w:r>
            <w:rPr>
              <w:rFonts w:ascii="Calibri" w:hAnsi="Calibri" w:cs="Arial"/>
              <w:sz w:val="18"/>
              <w:szCs w:val="18"/>
              <w:lang w:val="en-GB"/>
            </w:rPr>
            <w:t>Haiti.</w:t>
          </w:r>
          <w:r w:rsidRPr="00C035CF">
            <w:rPr>
              <w:rFonts w:ascii="Calibri" w:hAnsi="Calibri" w:cs="Arial"/>
              <w:sz w:val="18"/>
              <w:szCs w:val="18"/>
              <w:lang w:val="en-GB"/>
            </w:rPr>
            <w:t>unfpa.org</w:t>
          </w:r>
        </w:p>
      </w:tc>
    </w:tr>
  </w:tbl>
  <w:p w14:paraId="5EC805F4" w14:textId="77777777" w:rsidR="009C2C3A" w:rsidRPr="00C035CF" w:rsidRDefault="009C2C3A">
    <w:pPr>
      <w:pStyle w:val="Header"/>
      <w:rPr>
        <w:lang w:val="en-GB"/>
      </w:rPr>
    </w:pPr>
  </w:p>
  <w:p w14:paraId="3A99484B" w14:textId="77777777" w:rsidR="009C2C3A" w:rsidRPr="00C035CF" w:rsidRDefault="009C2C3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728"/>
    <w:multiLevelType w:val="hybridMultilevel"/>
    <w:tmpl w:val="E24E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6DD7"/>
    <w:multiLevelType w:val="hybridMultilevel"/>
    <w:tmpl w:val="BEE83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B430EB"/>
    <w:multiLevelType w:val="hybridMultilevel"/>
    <w:tmpl w:val="60AE78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66AD4"/>
    <w:multiLevelType w:val="hybridMultilevel"/>
    <w:tmpl w:val="F8AA1272"/>
    <w:lvl w:ilvl="0" w:tplc="763A2A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25218"/>
    <w:multiLevelType w:val="hybridMultilevel"/>
    <w:tmpl w:val="6B16B98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2AE67EA7"/>
    <w:multiLevelType w:val="multilevel"/>
    <w:tmpl w:val="25BE38CE"/>
    <w:lvl w:ilvl="0">
      <w:start w:val="1"/>
      <w:numFmt w:val="decimal"/>
      <w:lvlText w:val="%1."/>
      <w:lvlJc w:val="left"/>
      <w:pPr>
        <w:ind w:left="502" w:hanging="360"/>
      </w:pPr>
      <w:rPr>
        <w:rFonts w:asciiTheme="minorHAnsi" w:hAnsiTheme="minorHAnsi" w:cs="Times New Roman" w:hint="default"/>
        <w:b/>
        <w:color w:val="auto"/>
      </w:rPr>
    </w:lvl>
    <w:lvl w:ilvl="1">
      <w:start w:val="1"/>
      <w:numFmt w:val="decimal"/>
      <w:pStyle w:val="Titre2"/>
      <w:lvlText w:val="%1.%2."/>
      <w:lvlJc w:val="left"/>
      <w:pPr>
        <w:ind w:left="792" w:hanging="432"/>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C04A70"/>
    <w:multiLevelType w:val="hybridMultilevel"/>
    <w:tmpl w:val="DB5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C0E86"/>
    <w:multiLevelType w:val="hybridMultilevel"/>
    <w:tmpl w:val="C07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4822FF7"/>
    <w:multiLevelType w:val="hybridMultilevel"/>
    <w:tmpl w:val="D2DE2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199A"/>
    <w:multiLevelType w:val="hybridMultilevel"/>
    <w:tmpl w:val="61EAE4E0"/>
    <w:lvl w:ilvl="0" w:tplc="16004D3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3627B"/>
    <w:multiLevelType w:val="hybridMultilevel"/>
    <w:tmpl w:val="2B76D816"/>
    <w:lvl w:ilvl="0" w:tplc="B96CE686">
      <w:start w:val="1"/>
      <w:numFmt w:val="bullet"/>
      <w:lvlText w:val="-"/>
      <w:lvlJc w:val="left"/>
      <w:pPr>
        <w:ind w:left="720" w:hanging="360"/>
      </w:pPr>
      <w:rPr>
        <w:rFonts w:ascii="Calibri" w:eastAsia="MS Mincho"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4FD576C"/>
    <w:multiLevelType w:val="multilevel"/>
    <w:tmpl w:val="1FD6CE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A82276E"/>
    <w:multiLevelType w:val="multilevel"/>
    <w:tmpl w:val="B0F8B8B2"/>
    <w:lvl w:ilvl="0">
      <w:start w:val="1"/>
      <w:numFmt w:val="decimal"/>
      <w:lvlText w:val="%1."/>
      <w:lvlJc w:val="left"/>
      <w:pPr>
        <w:ind w:left="360" w:hanging="360"/>
      </w:pPr>
      <w:rPr>
        <w:rFonts w:ascii="Calibri" w:hAnsi="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B716D6B"/>
    <w:multiLevelType w:val="hybridMultilevel"/>
    <w:tmpl w:val="F078E642"/>
    <w:lvl w:ilvl="0" w:tplc="E69A4A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3094A93"/>
    <w:multiLevelType w:val="hybridMultilevel"/>
    <w:tmpl w:val="5FF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D75EB"/>
    <w:multiLevelType w:val="hybridMultilevel"/>
    <w:tmpl w:val="CB82B47C"/>
    <w:lvl w:ilvl="0" w:tplc="64AA3F8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474B98"/>
    <w:multiLevelType w:val="hybridMultilevel"/>
    <w:tmpl w:val="7272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C8E569F"/>
    <w:multiLevelType w:val="hybridMultilevel"/>
    <w:tmpl w:val="A3BE45A8"/>
    <w:lvl w:ilvl="0" w:tplc="2F8A0EA8">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973E1"/>
    <w:multiLevelType w:val="hybridMultilevel"/>
    <w:tmpl w:val="C98A3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E1791"/>
    <w:multiLevelType w:val="hybridMultilevel"/>
    <w:tmpl w:val="B868D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205E2"/>
    <w:multiLevelType w:val="hybridMultilevel"/>
    <w:tmpl w:val="D116C786"/>
    <w:lvl w:ilvl="0" w:tplc="DED05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8662554">
    <w:abstractNumId w:val="9"/>
  </w:num>
  <w:num w:numId="2" w16cid:durableId="1755273952">
    <w:abstractNumId w:val="20"/>
  </w:num>
  <w:num w:numId="3" w16cid:durableId="807891463">
    <w:abstractNumId w:val="2"/>
  </w:num>
  <w:num w:numId="4" w16cid:durableId="621957472">
    <w:abstractNumId w:val="16"/>
  </w:num>
  <w:num w:numId="5" w16cid:durableId="914321746">
    <w:abstractNumId w:val="7"/>
  </w:num>
  <w:num w:numId="6" w16cid:durableId="2035381524">
    <w:abstractNumId w:val="3"/>
  </w:num>
  <w:num w:numId="7" w16cid:durableId="1063135853">
    <w:abstractNumId w:val="18"/>
  </w:num>
  <w:num w:numId="8" w16cid:durableId="1094016285">
    <w:abstractNumId w:val="4"/>
  </w:num>
  <w:num w:numId="9" w16cid:durableId="223106786">
    <w:abstractNumId w:val="0"/>
  </w:num>
  <w:num w:numId="10" w16cid:durableId="966937156">
    <w:abstractNumId w:val="15"/>
  </w:num>
  <w:num w:numId="11" w16cid:durableId="2075347321">
    <w:abstractNumId w:val="21"/>
  </w:num>
  <w:num w:numId="12" w16cid:durableId="499202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468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131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726554">
    <w:abstractNumId w:val="11"/>
  </w:num>
  <w:num w:numId="16" w16cid:durableId="259416627">
    <w:abstractNumId w:val="19"/>
  </w:num>
  <w:num w:numId="17" w16cid:durableId="1841120837">
    <w:abstractNumId w:val="17"/>
  </w:num>
  <w:num w:numId="18" w16cid:durableId="1367295212">
    <w:abstractNumId w:val="22"/>
  </w:num>
  <w:num w:numId="19" w16cid:durableId="1207714250">
    <w:abstractNumId w:val="24"/>
  </w:num>
  <w:num w:numId="20" w16cid:durableId="1240408673">
    <w:abstractNumId w:val="1"/>
  </w:num>
  <w:num w:numId="21" w16cid:durableId="902637051">
    <w:abstractNumId w:val="10"/>
  </w:num>
  <w:num w:numId="22" w16cid:durableId="660697955">
    <w:abstractNumId w:val="23"/>
  </w:num>
  <w:num w:numId="23" w16cid:durableId="75578567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043916">
    <w:abstractNumId w:val="8"/>
  </w:num>
  <w:num w:numId="25" w16cid:durableId="590629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83"/>
    <w:rsid w:val="0000405A"/>
    <w:rsid w:val="00041E81"/>
    <w:rsid w:val="00071BAE"/>
    <w:rsid w:val="00077F3F"/>
    <w:rsid w:val="0008083D"/>
    <w:rsid w:val="0009351C"/>
    <w:rsid w:val="000A1E50"/>
    <w:rsid w:val="000A2F3F"/>
    <w:rsid w:val="000F0D1E"/>
    <w:rsid w:val="000F4C1D"/>
    <w:rsid w:val="00133086"/>
    <w:rsid w:val="001600E5"/>
    <w:rsid w:val="001B0C5B"/>
    <w:rsid w:val="002033A5"/>
    <w:rsid w:val="0021315F"/>
    <w:rsid w:val="00231B3E"/>
    <w:rsid w:val="00245983"/>
    <w:rsid w:val="002A661D"/>
    <w:rsid w:val="002B2E7B"/>
    <w:rsid w:val="00333C55"/>
    <w:rsid w:val="0037294E"/>
    <w:rsid w:val="00372C66"/>
    <w:rsid w:val="00386DE4"/>
    <w:rsid w:val="003B4F30"/>
    <w:rsid w:val="003E09C3"/>
    <w:rsid w:val="003E4205"/>
    <w:rsid w:val="003F151A"/>
    <w:rsid w:val="004302B5"/>
    <w:rsid w:val="00436C19"/>
    <w:rsid w:val="00443541"/>
    <w:rsid w:val="00451C54"/>
    <w:rsid w:val="00453F57"/>
    <w:rsid w:val="00461D30"/>
    <w:rsid w:val="00472075"/>
    <w:rsid w:val="004D3AD4"/>
    <w:rsid w:val="004D618F"/>
    <w:rsid w:val="004D661A"/>
    <w:rsid w:val="004E6766"/>
    <w:rsid w:val="00541441"/>
    <w:rsid w:val="00561AC9"/>
    <w:rsid w:val="005A3E79"/>
    <w:rsid w:val="005B5582"/>
    <w:rsid w:val="005D2D2B"/>
    <w:rsid w:val="00656813"/>
    <w:rsid w:val="006A2138"/>
    <w:rsid w:val="006C28D8"/>
    <w:rsid w:val="006E027A"/>
    <w:rsid w:val="00702D0A"/>
    <w:rsid w:val="00705A4A"/>
    <w:rsid w:val="00707AAB"/>
    <w:rsid w:val="007235E0"/>
    <w:rsid w:val="00730FF5"/>
    <w:rsid w:val="00763424"/>
    <w:rsid w:val="007934E2"/>
    <w:rsid w:val="00830540"/>
    <w:rsid w:val="00863214"/>
    <w:rsid w:val="00872FCA"/>
    <w:rsid w:val="0088509F"/>
    <w:rsid w:val="008E2CEC"/>
    <w:rsid w:val="009102FF"/>
    <w:rsid w:val="00950066"/>
    <w:rsid w:val="00977940"/>
    <w:rsid w:val="00991D35"/>
    <w:rsid w:val="009A0373"/>
    <w:rsid w:val="009B3A22"/>
    <w:rsid w:val="009B7787"/>
    <w:rsid w:val="009C2C3A"/>
    <w:rsid w:val="009C3819"/>
    <w:rsid w:val="009E6BE3"/>
    <w:rsid w:val="00A25535"/>
    <w:rsid w:val="00A31DB8"/>
    <w:rsid w:val="00A4248F"/>
    <w:rsid w:val="00A87A88"/>
    <w:rsid w:val="00A92CC8"/>
    <w:rsid w:val="00AA06F9"/>
    <w:rsid w:val="00AB765C"/>
    <w:rsid w:val="00AF36E1"/>
    <w:rsid w:val="00B14046"/>
    <w:rsid w:val="00B20348"/>
    <w:rsid w:val="00B52F5B"/>
    <w:rsid w:val="00B55C6A"/>
    <w:rsid w:val="00B60892"/>
    <w:rsid w:val="00B62F2F"/>
    <w:rsid w:val="00BD1929"/>
    <w:rsid w:val="00BE0075"/>
    <w:rsid w:val="00BE32C1"/>
    <w:rsid w:val="00C035CF"/>
    <w:rsid w:val="00C3020F"/>
    <w:rsid w:val="00C73F28"/>
    <w:rsid w:val="00CA7647"/>
    <w:rsid w:val="00D42095"/>
    <w:rsid w:val="00D639DA"/>
    <w:rsid w:val="00D73900"/>
    <w:rsid w:val="00D84F0F"/>
    <w:rsid w:val="00D92599"/>
    <w:rsid w:val="00DB5DBB"/>
    <w:rsid w:val="00DC66AC"/>
    <w:rsid w:val="00DC6D85"/>
    <w:rsid w:val="00DE4493"/>
    <w:rsid w:val="00E25609"/>
    <w:rsid w:val="00E3730E"/>
    <w:rsid w:val="00E4594D"/>
    <w:rsid w:val="00E74489"/>
    <w:rsid w:val="00E87D9A"/>
    <w:rsid w:val="00EB6C1B"/>
    <w:rsid w:val="00EC5C1A"/>
    <w:rsid w:val="00EF14C1"/>
    <w:rsid w:val="00F5442F"/>
    <w:rsid w:val="00F56F34"/>
    <w:rsid w:val="00F705F4"/>
    <w:rsid w:val="00F808FC"/>
    <w:rsid w:val="00FA30C0"/>
    <w:rsid w:val="00FA42F7"/>
    <w:rsid w:val="00FB3165"/>
    <w:rsid w:val="00FD66BF"/>
    <w:rsid w:val="00FF23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C139"/>
  <w15:docId w15:val="{A9A54CB6-E189-492A-B7A3-7CD02F66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E6573"/>
    <w:rPr>
      <w:color w:val="003366"/>
      <w:u w:val="single"/>
    </w:rPr>
  </w:style>
  <w:style w:type="character" w:customStyle="1" w:styleId="FootnoteTextChar">
    <w:name w:val="Footnote Text Char"/>
    <w:basedOn w:val="DefaultParagraphFont"/>
    <w:link w:val="FootnoteText"/>
    <w:qFormat/>
    <w:rsid w:val="009E6573"/>
    <w:rPr>
      <w:rFonts w:ascii="Times New Roman" w:eastAsia="Times New Roman" w:hAnsi="Times New Roman" w:cs="Times New Roman"/>
      <w:sz w:val="20"/>
      <w:szCs w:val="20"/>
    </w:rPr>
  </w:style>
  <w:style w:type="character" w:styleId="FootnoteReference">
    <w:name w:val="footnote reference"/>
    <w:qFormat/>
    <w:rsid w:val="009E6573"/>
    <w:rPr>
      <w:vertAlign w:val="superscript"/>
    </w:rPr>
  </w:style>
  <w:style w:type="character" w:customStyle="1" w:styleId="ListParagraphChar">
    <w:name w:val="List Paragraph Char"/>
    <w:aliases w:val="Bullets Char,Evidence on Demand bullet points Char,Heading 2_sj Char,Recommendatio Char,Párrafo de lista Char,Recommendation Char,OBC Bullet Char,Dot pt Char,F5 List Paragraph Char,List Paragraph1 Char,No Spacing1 Char"/>
    <w:link w:val="ListParagraph"/>
    <w:uiPriority w:val="34"/>
    <w:qFormat/>
    <w:locked/>
    <w:rsid w:val="009E6573"/>
    <w:rPr>
      <w:rFonts w:ascii="Times New Roman" w:eastAsia="Times New Roman" w:hAnsi="Times New Roman" w:cs="Times New Roman"/>
      <w:szCs w:val="20"/>
      <w:lang w:eastAsia="en-GB"/>
    </w:rPr>
  </w:style>
  <w:style w:type="character" w:styleId="CommentReference">
    <w:name w:val="annotation reference"/>
    <w:qFormat/>
    <w:rsid w:val="009E6573"/>
    <w:rPr>
      <w:sz w:val="16"/>
      <w:szCs w:val="16"/>
    </w:rPr>
  </w:style>
  <w:style w:type="character" w:customStyle="1" w:styleId="CommentTextChar">
    <w:name w:val="Comment Text Char"/>
    <w:basedOn w:val="DefaultParagraphFont"/>
    <w:link w:val="CommentText"/>
    <w:qFormat/>
    <w:rsid w:val="009E65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9E6573"/>
    <w:rPr>
      <w:color w:val="800080" w:themeColor="followedHyperlink"/>
      <w:u w:val="single"/>
    </w:rPr>
  </w:style>
  <w:style w:type="character" w:customStyle="1" w:styleId="BalloonTextChar">
    <w:name w:val="Balloon Text Char"/>
    <w:basedOn w:val="DefaultParagraphFont"/>
    <w:link w:val="BalloonText"/>
    <w:uiPriority w:val="99"/>
    <w:semiHidden/>
    <w:qFormat/>
    <w:rsid w:val="009E6573"/>
    <w:rPr>
      <w:rFonts w:ascii="Tahoma" w:eastAsia="Times New Roman" w:hAnsi="Tahoma" w:cs="Tahoma"/>
      <w:sz w:val="16"/>
      <w:szCs w:val="16"/>
    </w:rPr>
  </w:style>
  <w:style w:type="character" w:customStyle="1" w:styleId="TitleChar">
    <w:name w:val="Title Char"/>
    <w:basedOn w:val="DefaultParagraphFont"/>
    <w:link w:val="Title"/>
    <w:uiPriority w:val="10"/>
    <w:qFormat/>
    <w:rsid w:val="00B415C5"/>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uiPriority w:val="99"/>
    <w:qFormat/>
    <w:rsid w:val="00B415C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B415C5"/>
    <w:rPr>
      <w:rFonts w:ascii="Times New Roman" w:eastAsia="Times New Roman" w:hAnsi="Times New Roman" w:cs="Times New Roman"/>
      <w:sz w:val="20"/>
      <w:szCs w:val="20"/>
    </w:rPr>
  </w:style>
  <w:style w:type="character" w:styleId="PlaceholderText">
    <w:name w:val="Placeholder Text"/>
    <w:basedOn w:val="DefaultParagraphFont"/>
    <w:uiPriority w:val="99"/>
    <w:semiHidden/>
    <w:qFormat/>
    <w:rsid w:val="00B6278F"/>
    <w:rPr>
      <w:color w:val="808080"/>
    </w:rPr>
  </w:style>
  <w:style w:type="character" w:styleId="PageNumber">
    <w:name w:val="page number"/>
    <w:basedOn w:val="DefaultParagraphFon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FootnoteText">
    <w:name w:val="footnote text"/>
    <w:basedOn w:val="Normal"/>
    <w:link w:val="FootnoteTextChar"/>
    <w:qFormat/>
    <w:rsid w:val="009E6573"/>
  </w:style>
  <w:style w:type="paragraph" w:styleId="ListParagraph">
    <w:name w:val="List Paragraph"/>
    <w:aliases w:val="Bullets,Evidence on Demand bullet points,Heading 2_sj,Recommendatio,Párrafo de lista,Recommendation,OBC Bullet,Dot pt,F5 List Paragraph,List Paragraph1,No Spacing1,List Paragraph Char Char Char,Indicator Text"/>
    <w:basedOn w:val="Normal"/>
    <w:link w:val="ListParagraphChar"/>
    <w:uiPriority w:val="34"/>
    <w:qFormat/>
    <w:rsid w:val="009E6573"/>
    <w:pPr>
      <w:ind w:left="720"/>
      <w:textAlignment w:val="baseline"/>
    </w:pPr>
    <w:rPr>
      <w:sz w:val="22"/>
      <w:lang w:eastAsia="en-GB"/>
    </w:rPr>
  </w:style>
  <w:style w:type="paragraph" w:styleId="CommentText">
    <w:name w:val="annotation text"/>
    <w:basedOn w:val="Normal"/>
    <w:link w:val="CommentTextChar"/>
    <w:qFormat/>
    <w:rsid w:val="009E6573"/>
  </w:style>
  <w:style w:type="paragraph" w:styleId="BalloonText">
    <w:name w:val="Balloon Text"/>
    <w:basedOn w:val="Normal"/>
    <w:link w:val="BalloonTextChar"/>
    <w:uiPriority w:val="99"/>
    <w:semiHidden/>
    <w:unhideWhenUsed/>
    <w:qFormat/>
    <w:rsid w:val="009E6573"/>
    <w:rPr>
      <w:rFonts w:ascii="Tahoma" w:hAnsi="Tahoma" w:cs="Tahoma"/>
      <w:sz w:val="16"/>
      <w:szCs w:val="16"/>
    </w:rPr>
  </w:style>
  <w:style w:type="paragraph" w:styleId="Title">
    <w:name w:val="Title"/>
    <w:basedOn w:val="Normal"/>
    <w:link w:val="TitleChar"/>
    <w:uiPriority w:val="10"/>
    <w:qFormat/>
    <w:rsid w:val="00B415C5"/>
    <w:pPr>
      <w:jc w:val="center"/>
    </w:pPr>
    <w:rPr>
      <w:b/>
      <w:bCs/>
      <w:sz w:val="24"/>
      <w:u w:val="single"/>
    </w:rPr>
  </w:style>
  <w:style w:type="paragraph" w:styleId="Header">
    <w:name w:val="header"/>
    <w:basedOn w:val="Normal"/>
    <w:link w:val="HeaderChar"/>
    <w:unhideWhenUsed/>
    <w:rsid w:val="00B415C5"/>
    <w:pPr>
      <w:tabs>
        <w:tab w:val="center" w:pos="4513"/>
        <w:tab w:val="right" w:pos="9026"/>
      </w:tabs>
    </w:pPr>
  </w:style>
  <w:style w:type="paragraph" w:styleId="Footer">
    <w:name w:val="footer"/>
    <w:basedOn w:val="Normal"/>
    <w:link w:val="FooterChar"/>
    <w:unhideWhenUsed/>
    <w:rsid w:val="00B415C5"/>
    <w:pPr>
      <w:tabs>
        <w:tab w:val="center" w:pos="4513"/>
        <w:tab w:val="right" w:pos="9026"/>
      </w:tabs>
    </w:pPr>
  </w:style>
  <w:style w:type="paragraph" w:styleId="NormalWeb">
    <w:name w:val="Normal (Web)"/>
    <w:basedOn w:val="Normal"/>
    <w:uiPriority w:val="99"/>
    <w:unhideWhenUsed/>
    <w:qFormat/>
    <w:rsid w:val="007A2896"/>
    <w:pPr>
      <w:spacing w:beforeAutospacing="1" w:afterAutospacing="1"/>
    </w:pPr>
    <w:rPr>
      <w:sz w:val="24"/>
      <w:szCs w:val="24"/>
      <w:lang w:eastAsia="en-GB"/>
    </w:rPr>
  </w:style>
  <w:style w:type="paragraph" w:customStyle="1" w:styleId="UNFPAAddress">
    <w:name w:val="UNFPA Address"/>
    <w:basedOn w:val="Footer"/>
    <w:next w:val="Footer"/>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348"/>
    <w:rPr>
      <w:b/>
      <w:bCs/>
    </w:rPr>
  </w:style>
  <w:style w:type="character" w:customStyle="1" w:styleId="CommentSubjectChar">
    <w:name w:val="Comment Subject Char"/>
    <w:basedOn w:val="CommentTextChar"/>
    <w:link w:val="CommentSubject"/>
    <w:uiPriority w:val="99"/>
    <w:semiHidden/>
    <w:rsid w:val="00B20348"/>
    <w:rPr>
      <w:rFonts w:ascii="Times New Roman" w:eastAsia="Times New Roman" w:hAnsi="Times New Roman" w:cs="Times New Roman"/>
      <w:b/>
      <w:bCs/>
      <w:sz w:val="20"/>
      <w:szCs w:val="20"/>
    </w:rPr>
  </w:style>
  <w:style w:type="character" w:styleId="Hyperlink">
    <w:name w:val="Hyperlink"/>
    <w:basedOn w:val="DefaultParagraphFont"/>
    <w:unhideWhenUsed/>
    <w:rsid w:val="00436C19"/>
    <w:rPr>
      <w:color w:val="0000FF"/>
      <w:u w:val="single"/>
    </w:rPr>
  </w:style>
  <w:style w:type="character" w:styleId="Strong">
    <w:name w:val="Strong"/>
    <w:uiPriority w:val="22"/>
    <w:qFormat/>
    <w:rsid w:val="00436C19"/>
    <w:rPr>
      <w:b/>
      <w:bCs/>
    </w:rPr>
  </w:style>
  <w:style w:type="character" w:customStyle="1" w:styleId="familyname">
    <w:name w:val="familyname"/>
    <w:rsid w:val="00436C19"/>
  </w:style>
  <w:style w:type="character" w:styleId="Emphasis">
    <w:name w:val="Emphasis"/>
    <w:uiPriority w:val="20"/>
    <w:qFormat/>
    <w:rsid w:val="00436C19"/>
    <w:rPr>
      <w:i/>
      <w:iCs/>
    </w:rPr>
  </w:style>
  <w:style w:type="character" w:customStyle="1" w:styleId="in-revue">
    <w:name w:val="in-revue"/>
    <w:rsid w:val="00436C19"/>
  </w:style>
  <w:style w:type="paragraph" w:customStyle="1" w:styleId="Figure1">
    <w:name w:val="Figure_1"/>
    <w:autoRedefine/>
    <w:qFormat/>
    <w:rsid w:val="00BE32C1"/>
    <w:pPr>
      <w:overflowPunct w:val="0"/>
      <w:spacing w:before="60" w:after="60" w:line="240" w:lineRule="auto"/>
      <w:jc w:val="center"/>
    </w:pPr>
    <w:rPr>
      <w:rFonts w:ascii="Century Gothic" w:eastAsia="Times New Roman" w:hAnsi="Century Gothic" w:cs="Times New Roman"/>
      <w:b/>
      <w:bCs/>
      <w:i/>
      <w:color w:val="FFFFFF"/>
      <w:sz w:val="22"/>
    </w:rPr>
  </w:style>
  <w:style w:type="paragraph" w:customStyle="1" w:styleId="Titre2">
    <w:name w:val="Titre 2"/>
    <w:basedOn w:val="Normal"/>
    <w:next w:val="Normal"/>
    <w:rsid w:val="00BE32C1"/>
    <w:pPr>
      <w:keepNext/>
      <w:keepLines/>
      <w:numPr>
        <w:ilvl w:val="1"/>
        <w:numId w:val="13"/>
      </w:numPr>
      <w:overflowPunct w:val="0"/>
      <w:spacing w:before="200"/>
      <w:ind w:left="851" w:hanging="491"/>
      <w:outlineLvl w:val="1"/>
    </w:pPr>
    <w:rPr>
      <w:rFonts w:ascii="Calibri" w:eastAsia="MS Gothic" w:hAnsi="Calibri" w:cs="DejaVu Sans"/>
      <w:b/>
      <w:bCs/>
      <w:color w:val="4F81BD"/>
      <w:sz w:val="22"/>
      <w:szCs w:val="22"/>
      <w:lang w:eastAsia="en-GB"/>
    </w:rPr>
  </w:style>
  <w:style w:type="paragraph" w:customStyle="1" w:styleId="CharCharCharCharCharCharChar">
    <w:name w:val="Char Char Char Char Char Char Char"/>
    <w:basedOn w:val="Normal"/>
    <w:rsid w:val="00F5442F"/>
    <w:pPr>
      <w:spacing w:before="120" w:after="160" w:line="240" w:lineRule="exact"/>
    </w:pPr>
    <w:rPr>
      <w:rFonts w:ascii="Verdana" w:hAnsi="Verdana" w:cs="Arial"/>
      <w:lang w:val="en-US"/>
    </w:rPr>
  </w:style>
  <w:style w:type="paragraph" w:styleId="HTMLPreformatted">
    <w:name w:val="HTML Preformatted"/>
    <w:basedOn w:val="Normal"/>
    <w:link w:val="HTMLPreformattedChar"/>
    <w:uiPriority w:val="99"/>
    <w:unhideWhenUsed/>
    <w:rsid w:val="00F5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5442F"/>
    <w:rPr>
      <w:rFonts w:ascii="Courier New" w:eastAsia="Times New Roman" w:hAnsi="Courier New" w:cs="Courier New"/>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1064">
      <w:bodyDiv w:val="1"/>
      <w:marLeft w:val="0"/>
      <w:marRight w:val="0"/>
      <w:marTop w:val="0"/>
      <w:marBottom w:val="0"/>
      <w:divBdr>
        <w:top w:val="none" w:sz="0" w:space="0" w:color="auto"/>
        <w:left w:val="none" w:sz="0" w:space="0" w:color="auto"/>
        <w:bottom w:val="none" w:sz="0" w:space="0" w:color="auto"/>
        <w:right w:val="none" w:sz="0" w:space="0" w:color="auto"/>
      </w:divBdr>
    </w:div>
    <w:div w:id="1074011423">
      <w:bodyDiv w:val="1"/>
      <w:marLeft w:val="0"/>
      <w:marRight w:val="0"/>
      <w:marTop w:val="0"/>
      <w:marBottom w:val="0"/>
      <w:divBdr>
        <w:top w:val="none" w:sz="0" w:space="0" w:color="auto"/>
        <w:left w:val="none" w:sz="0" w:space="0" w:color="auto"/>
        <w:bottom w:val="none" w:sz="0" w:space="0" w:color="auto"/>
        <w:right w:val="none" w:sz="0" w:space="0" w:color="auto"/>
      </w:divBdr>
    </w:div>
    <w:div w:id="1362778057">
      <w:bodyDiv w:val="1"/>
      <w:marLeft w:val="0"/>
      <w:marRight w:val="0"/>
      <w:marTop w:val="0"/>
      <w:marBottom w:val="0"/>
      <w:divBdr>
        <w:top w:val="none" w:sz="0" w:space="0" w:color="auto"/>
        <w:left w:val="none" w:sz="0" w:space="0" w:color="auto"/>
        <w:bottom w:val="none" w:sz="0" w:space="0" w:color="auto"/>
        <w:right w:val="none" w:sz="0" w:space="0" w:color="auto"/>
      </w:divBdr>
    </w:div>
    <w:div w:id="204867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resources/fraud-policy-200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haiti@unfpa.org" TargetMode="External"/><Relationship Id="rId5" Type="http://schemas.openxmlformats.org/officeDocument/2006/relationships/styles" Target="styles.xml"/><Relationship Id="rId15" Type="http://schemas.openxmlformats.org/officeDocument/2006/relationships/hyperlink" Target="http://www.unfpa.org/about-procurement" TargetMode="External"/><Relationship Id="rId10" Type="http://schemas.openxmlformats.org/officeDocument/2006/relationships/hyperlink" Target="http://www.unfpa.org/about-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2.unfpa.org/help/hotlin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Stephania Antoine Gilles</cp:lastModifiedBy>
  <cp:revision>8</cp:revision>
  <cp:lastPrinted>2020-10-21T15:57:00Z</cp:lastPrinted>
  <dcterms:created xsi:type="dcterms:W3CDTF">2023-08-21T14:25:00Z</dcterms:created>
  <dcterms:modified xsi:type="dcterms:W3CDTF">2023-08-21T15:35:00Z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