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491"/>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08"/>
        <w:gridCol w:w="6740"/>
      </w:tblGrid>
      <w:tr w:rsidR="00D52861" w:rsidRPr="00D52861" w:rsidTr="00D52861">
        <w:trPr>
          <w:trHeight w:val="410"/>
          <w:tblCellSpacing w:w="20" w:type="dxa"/>
        </w:trPr>
        <w:tc>
          <w:tcPr>
            <w:tcW w:w="2048" w:type="dxa"/>
            <w:vAlign w:val="center"/>
          </w:tcPr>
          <w:p w:rsidR="00D52861" w:rsidRPr="00B1068C" w:rsidRDefault="00D52861" w:rsidP="00D52861">
            <w:pPr>
              <w:rPr>
                <w:rFonts w:ascii="Arial" w:hAnsi="Arial" w:cs="Arial"/>
                <w:b/>
                <w:sz w:val="20"/>
                <w:szCs w:val="20"/>
              </w:rPr>
            </w:pPr>
            <w:proofErr w:type="spellStart"/>
            <w:r w:rsidRPr="00B1068C">
              <w:rPr>
                <w:rFonts w:ascii="Arial" w:hAnsi="Arial" w:cs="Arial"/>
                <w:b/>
                <w:sz w:val="20"/>
                <w:szCs w:val="20"/>
              </w:rPr>
              <w:t>Titre</w:t>
            </w:r>
            <w:proofErr w:type="spellEnd"/>
            <w:r w:rsidRPr="00B1068C">
              <w:rPr>
                <w:rFonts w:ascii="Arial" w:hAnsi="Arial" w:cs="Arial"/>
                <w:b/>
                <w:sz w:val="20"/>
                <w:szCs w:val="20"/>
              </w:rPr>
              <w:t xml:space="preserve"> </w:t>
            </w:r>
            <w:proofErr w:type="spellStart"/>
            <w:r w:rsidRPr="00B1068C">
              <w:rPr>
                <w:rFonts w:ascii="Arial" w:hAnsi="Arial" w:cs="Arial"/>
                <w:b/>
                <w:sz w:val="20"/>
                <w:szCs w:val="20"/>
              </w:rPr>
              <w:t>officiel</w:t>
            </w:r>
            <w:proofErr w:type="spellEnd"/>
            <w:r w:rsidRPr="00B1068C">
              <w:rPr>
                <w:rFonts w:ascii="Arial" w:hAnsi="Arial" w:cs="Arial"/>
                <w:b/>
                <w:sz w:val="20"/>
                <w:szCs w:val="20"/>
              </w:rPr>
              <w:t xml:space="preserve"> du poste:</w:t>
            </w:r>
          </w:p>
        </w:tc>
        <w:tc>
          <w:tcPr>
            <w:tcW w:w="6680" w:type="dxa"/>
            <w:vAlign w:val="center"/>
          </w:tcPr>
          <w:p w:rsidR="00D52861" w:rsidRPr="00B1068C" w:rsidRDefault="00D52861" w:rsidP="00D52861">
            <w:pPr>
              <w:rPr>
                <w:rFonts w:ascii="Arial" w:hAnsi="Arial" w:cs="Arial"/>
                <w:b/>
                <w:sz w:val="20"/>
                <w:szCs w:val="20"/>
                <w:lang w:val="fr-FR"/>
              </w:rPr>
            </w:pPr>
            <w:r w:rsidRPr="00AB1D59">
              <w:rPr>
                <w:rFonts w:ascii="Arial" w:hAnsi="Arial" w:cs="Arial"/>
                <w:b/>
                <w:sz w:val="20"/>
                <w:szCs w:val="20"/>
                <w:lang w:val="fr-FR"/>
              </w:rPr>
              <w:t>Ingénieur en Réhabilitation et équipement des services de SR/Genre</w:t>
            </w:r>
          </w:p>
          <w:p w:rsidR="00D52861" w:rsidRPr="00B1068C" w:rsidRDefault="00D52861" w:rsidP="00D52861">
            <w:pPr>
              <w:rPr>
                <w:rFonts w:ascii="Arial" w:hAnsi="Arial" w:cs="Arial"/>
                <w:b/>
                <w:sz w:val="20"/>
                <w:szCs w:val="20"/>
                <w:lang w:val="fr-FR"/>
              </w:rPr>
            </w:pPr>
            <w:r w:rsidRPr="00B1068C">
              <w:rPr>
                <w:rFonts w:ascii="Arial" w:hAnsi="Arial" w:cs="Arial"/>
                <w:b/>
                <w:sz w:val="20"/>
                <w:szCs w:val="20"/>
                <w:lang w:val="fr-FR"/>
              </w:rPr>
              <w:t xml:space="preserve">Lieu d’affectation: Port au Prince – Haïti </w:t>
            </w:r>
          </w:p>
        </w:tc>
      </w:tr>
      <w:tr w:rsidR="00D52861" w:rsidRPr="00B1068C" w:rsidTr="00D52861">
        <w:trPr>
          <w:trHeight w:val="410"/>
          <w:tblCellSpacing w:w="20" w:type="dxa"/>
        </w:trPr>
        <w:tc>
          <w:tcPr>
            <w:tcW w:w="2048" w:type="dxa"/>
            <w:vAlign w:val="center"/>
          </w:tcPr>
          <w:p w:rsidR="00D52861" w:rsidRPr="00B1068C" w:rsidRDefault="00D52861" w:rsidP="00D52861">
            <w:pPr>
              <w:rPr>
                <w:rFonts w:ascii="Arial" w:hAnsi="Arial" w:cs="Arial"/>
                <w:b/>
                <w:sz w:val="20"/>
                <w:szCs w:val="20"/>
              </w:rPr>
            </w:pPr>
            <w:proofErr w:type="spellStart"/>
            <w:r w:rsidRPr="00B1068C">
              <w:rPr>
                <w:rFonts w:ascii="Arial" w:hAnsi="Arial" w:cs="Arial"/>
                <w:b/>
                <w:sz w:val="20"/>
                <w:szCs w:val="20"/>
              </w:rPr>
              <w:t>Niveau</w:t>
            </w:r>
            <w:proofErr w:type="spellEnd"/>
            <w:r w:rsidRPr="00B1068C">
              <w:rPr>
                <w:rFonts w:ascii="Arial" w:hAnsi="Arial" w:cs="Arial"/>
                <w:b/>
                <w:sz w:val="20"/>
                <w:szCs w:val="20"/>
              </w:rPr>
              <w:t xml:space="preserve"> du poste</w:t>
            </w:r>
          </w:p>
        </w:tc>
        <w:tc>
          <w:tcPr>
            <w:tcW w:w="6680" w:type="dxa"/>
            <w:vAlign w:val="center"/>
          </w:tcPr>
          <w:p w:rsidR="00D52861" w:rsidRPr="00B1068C" w:rsidRDefault="00D52861" w:rsidP="00D52861">
            <w:pPr>
              <w:rPr>
                <w:rFonts w:ascii="Arial" w:hAnsi="Arial" w:cs="Arial"/>
                <w:b/>
                <w:sz w:val="20"/>
                <w:szCs w:val="20"/>
              </w:rPr>
            </w:pPr>
            <w:r w:rsidRPr="00B1068C">
              <w:rPr>
                <w:rFonts w:ascii="Arial" w:hAnsi="Arial" w:cs="Arial"/>
                <w:b/>
                <w:sz w:val="20"/>
                <w:szCs w:val="20"/>
              </w:rPr>
              <w:t>SB4</w:t>
            </w:r>
            <w:r w:rsidRPr="00B1068C">
              <w:rPr>
                <w:rFonts w:ascii="Arial" w:hAnsi="Arial" w:cs="Arial"/>
                <w:b/>
                <w:sz w:val="20"/>
                <w:szCs w:val="20"/>
              </w:rPr>
              <w:tab/>
            </w:r>
            <w:r w:rsidRPr="00B1068C">
              <w:rPr>
                <w:rFonts w:ascii="Arial" w:hAnsi="Arial" w:cs="Arial"/>
                <w:b/>
                <w:sz w:val="20"/>
                <w:szCs w:val="20"/>
              </w:rPr>
              <w:tab/>
            </w:r>
            <w:r w:rsidRPr="00B1068C">
              <w:rPr>
                <w:rFonts w:ascii="Arial" w:hAnsi="Arial" w:cs="Arial"/>
                <w:b/>
                <w:sz w:val="20"/>
                <w:szCs w:val="20"/>
              </w:rPr>
              <w:tab/>
            </w:r>
          </w:p>
        </w:tc>
      </w:tr>
      <w:tr w:rsidR="00D52861" w:rsidRPr="00B1068C" w:rsidTr="00D52861">
        <w:trPr>
          <w:trHeight w:val="142"/>
          <w:tblCellSpacing w:w="20" w:type="dxa"/>
        </w:trPr>
        <w:tc>
          <w:tcPr>
            <w:tcW w:w="2048" w:type="dxa"/>
            <w:vAlign w:val="center"/>
          </w:tcPr>
          <w:p w:rsidR="00D52861" w:rsidRPr="00B1068C" w:rsidRDefault="00D52861" w:rsidP="00D52861">
            <w:pPr>
              <w:rPr>
                <w:rFonts w:ascii="Arial" w:hAnsi="Arial" w:cs="Arial"/>
                <w:b/>
                <w:sz w:val="20"/>
                <w:szCs w:val="20"/>
              </w:rPr>
            </w:pPr>
            <w:r>
              <w:rPr>
                <w:rFonts w:ascii="Arial" w:hAnsi="Arial" w:cs="Arial"/>
                <w:b/>
                <w:sz w:val="20"/>
                <w:szCs w:val="20"/>
              </w:rPr>
              <w:t xml:space="preserve">Type de </w:t>
            </w:r>
            <w:proofErr w:type="spellStart"/>
            <w:r>
              <w:rPr>
                <w:rFonts w:ascii="Arial" w:hAnsi="Arial" w:cs="Arial"/>
                <w:b/>
                <w:sz w:val="20"/>
                <w:szCs w:val="20"/>
              </w:rPr>
              <w:t>contrat</w:t>
            </w:r>
            <w:proofErr w:type="spellEnd"/>
          </w:p>
        </w:tc>
        <w:tc>
          <w:tcPr>
            <w:tcW w:w="6680" w:type="dxa"/>
            <w:shd w:val="clear" w:color="auto" w:fill="auto"/>
            <w:vAlign w:val="center"/>
          </w:tcPr>
          <w:p w:rsidR="00D52861" w:rsidRPr="00B1068C" w:rsidRDefault="00D52861" w:rsidP="00D52861">
            <w:pPr>
              <w:rPr>
                <w:rFonts w:ascii="Arial" w:hAnsi="Arial" w:cs="Arial"/>
                <w:b/>
                <w:sz w:val="20"/>
                <w:szCs w:val="20"/>
              </w:rPr>
            </w:pPr>
            <w:r>
              <w:rPr>
                <w:rFonts w:ascii="Arial" w:hAnsi="Arial" w:cs="Arial"/>
                <w:b/>
                <w:sz w:val="20"/>
                <w:szCs w:val="20"/>
              </w:rPr>
              <w:t>Contrat de service (SC)</w:t>
            </w:r>
          </w:p>
        </w:tc>
      </w:tr>
      <w:tr w:rsidR="00D52861" w:rsidRPr="00D52861" w:rsidTr="00D52861">
        <w:trPr>
          <w:trHeight w:val="142"/>
          <w:tblCellSpacing w:w="20" w:type="dxa"/>
        </w:trPr>
        <w:tc>
          <w:tcPr>
            <w:tcW w:w="8768" w:type="dxa"/>
            <w:gridSpan w:val="2"/>
            <w:vAlign w:val="center"/>
          </w:tcPr>
          <w:p w:rsidR="00D52861" w:rsidRPr="00B1068C" w:rsidRDefault="00D52861" w:rsidP="00D52861">
            <w:pPr>
              <w:rPr>
                <w:rFonts w:ascii="Arial" w:hAnsi="Arial" w:cs="Arial"/>
                <w:b/>
                <w:sz w:val="20"/>
                <w:szCs w:val="20"/>
                <w:lang w:val="fr-FR"/>
              </w:rPr>
            </w:pPr>
            <w:r w:rsidRPr="00B1068C">
              <w:rPr>
                <w:rFonts w:ascii="Arial" w:hAnsi="Arial" w:cs="Arial"/>
                <w:b/>
                <w:sz w:val="20"/>
                <w:szCs w:val="20"/>
                <w:lang w:val="fr-FR"/>
              </w:rPr>
              <w:t>NB : Ce poste est valable seulement pour la durée des fonds alloués au projet</w:t>
            </w:r>
          </w:p>
        </w:tc>
      </w:tr>
    </w:tbl>
    <w:p w:rsidR="00E50E77" w:rsidRDefault="00E50E77" w:rsidP="00E50E77">
      <w:pPr>
        <w:rPr>
          <w:lang w:val="fr-FR"/>
        </w:rPr>
      </w:pPr>
      <w:r w:rsidRPr="00B1068C">
        <w:rPr>
          <w:rFonts w:ascii="Arial" w:hAnsi="Arial" w:cs="Arial"/>
          <w:b/>
          <w:noProof/>
          <w:sz w:val="20"/>
          <w:szCs w:val="20"/>
        </w:rPr>
        <w:drawing>
          <wp:inline distT="0" distB="0" distL="0" distR="0" wp14:anchorId="5A616B23" wp14:editId="66580D0E">
            <wp:extent cx="742950" cy="619125"/>
            <wp:effectExtent l="0" t="0" r="0" b="9525"/>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P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p w:rsidR="00E50E77" w:rsidRDefault="00E50E77" w:rsidP="00E50E77">
      <w:pPr>
        <w:overflowPunct w:val="0"/>
        <w:autoSpaceDE w:val="0"/>
        <w:autoSpaceDN w:val="0"/>
        <w:adjustRightInd w:val="0"/>
        <w:spacing w:line="276" w:lineRule="auto"/>
        <w:jc w:val="both"/>
        <w:rPr>
          <w:rFonts w:ascii="Calibri" w:eastAsia="MS Mincho" w:hAnsi="Calibri"/>
          <w:color w:val="000000"/>
          <w:sz w:val="22"/>
          <w:szCs w:val="22"/>
          <w:lang w:val="fr-FR"/>
        </w:rPr>
      </w:pPr>
    </w:p>
    <w:p w:rsidR="001017A9" w:rsidRPr="001017A9" w:rsidRDefault="00530C5D" w:rsidP="001017A9">
      <w:pPr>
        <w:overflowPunct w:val="0"/>
        <w:autoSpaceDE w:val="0"/>
        <w:autoSpaceDN w:val="0"/>
        <w:adjustRightInd w:val="0"/>
        <w:spacing w:line="276" w:lineRule="auto"/>
        <w:jc w:val="both"/>
        <w:rPr>
          <w:rFonts w:ascii="Arial" w:eastAsia="MS Mincho" w:hAnsi="Arial" w:cs="Arial"/>
          <w:color w:val="000000"/>
          <w:sz w:val="20"/>
          <w:szCs w:val="20"/>
          <w:lang w:val="fr-FR"/>
        </w:rPr>
      </w:pPr>
      <w:r>
        <w:rPr>
          <w:rFonts w:ascii="Arial" w:eastAsia="MS Mincho" w:hAnsi="Arial" w:cs="Arial"/>
          <w:color w:val="000000"/>
          <w:sz w:val="20"/>
          <w:szCs w:val="20"/>
          <w:lang w:val="fr-FR"/>
        </w:rPr>
        <w:t>UNFPA,</w:t>
      </w:r>
      <w:r w:rsidR="001017A9" w:rsidRPr="001017A9">
        <w:rPr>
          <w:rFonts w:ascii="Arial" w:eastAsia="MS Mincho" w:hAnsi="Arial" w:cs="Arial"/>
          <w:color w:val="000000"/>
          <w:sz w:val="20"/>
          <w:szCs w:val="20"/>
          <w:lang w:val="fr-FR"/>
        </w:rPr>
        <w:t xml:space="preserve"> Fonds des Nations Unies pour la population bénéficie de deux Projet</w:t>
      </w:r>
      <w:r w:rsidR="001017A9">
        <w:rPr>
          <w:rFonts w:ascii="Arial" w:eastAsia="MS Mincho" w:hAnsi="Arial" w:cs="Arial"/>
          <w:color w:val="000000"/>
          <w:sz w:val="20"/>
          <w:szCs w:val="20"/>
          <w:lang w:val="fr-FR"/>
        </w:rPr>
        <w:t>s</w:t>
      </w:r>
      <w:r w:rsidR="001017A9" w:rsidRPr="001017A9">
        <w:rPr>
          <w:rFonts w:ascii="Arial" w:eastAsia="MS Mincho" w:hAnsi="Arial" w:cs="Arial"/>
          <w:color w:val="000000"/>
          <w:sz w:val="20"/>
          <w:szCs w:val="20"/>
          <w:lang w:val="fr-FR"/>
        </w:rPr>
        <w:t xml:space="preserve"> financé</w:t>
      </w:r>
      <w:r w:rsidR="001017A9">
        <w:rPr>
          <w:rFonts w:ascii="Arial" w:eastAsia="MS Mincho" w:hAnsi="Arial" w:cs="Arial"/>
          <w:color w:val="000000"/>
          <w:sz w:val="20"/>
          <w:szCs w:val="20"/>
          <w:lang w:val="fr-FR"/>
        </w:rPr>
        <w:t xml:space="preserve">s </w:t>
      </w:r>
      <w:r w:rsidR="001017A9" w:rsidRPr="001017A9">
        <w:rPr>
          <w:rFonts w:ascii="Arial" w:eastAsia="MS Mincho" w:hAnsi="Arial" w:cs="Arial"/>
          <w:color w:val="000000"/>
          <w:sz w:val="20"/>
          <w:szCs w:val="20"/>
          <w:lang w:val="fr-FR"/>
        </w:rPr>
        <w:t>par le Canada. Dans ces deux projets, UNFPA doit procéder à la réhabilitation de plus de 20 blocs de gestion des déchets, des Maternités, la mise en place des énergies renouvelables ainsi que la réhabilitation des lieux d’hébergement des professionnels de santé autour de 26 SONU. Il est aussi prévu l’équipement et le transfert dans les sites y compris le suivi dans plu</w:t>
      </w:r>
      <w:r w:rsidR="001017A9">
        <w:rPr>
          <w:rFonts w:ascii="Arial" w:eastAsia="MS Mincho" w:hAnsi="Arial" w:cs="Arial"/>
          <w:color w:val="000000"/>
          <w:sz w:val="20"/>
          <w:szCs w:val="20"/>
          <w:lang w:val="fr-FR"/>
        </w:rPr>
        <w:t>s de 40 Institutions de santé. Pour la mise en œuvre de ces</w:t>
      </w:r>
      <w:r w:rsidR="001017A9" w:rsidRPr="001017A9">
        <w:rPr>
          <w:rFonts w:ascii="Arial" w:eastAsia="MS Mincho" w:hAnsi="Arial" w:cs="Arial"/>
          <w:color w:val="000000"/>
          <w:sz w:val="20"/>
          <w:szCs w:val="20"/>
          <w:lang w:val="fr-FR"/>
        </w:rPr>
        <w:t xml:space="preserve"> deux Projets, UNFPA recrute un Ingénieur en réhabilitation et équipement pour les services de SR/Genre.</w:t>
      </w:r>
    </w:p>
    <w:p w:rsidR="00E50E77" w:rsidRPr="005476C3" w:rsidRDefault="00E50E77" w:rsidP="00E50E77">
      <w:pPr>
        <w:overflowPunct w:val="0"/>
        <w:autoSpaceDE w:val="0"/>
        <w:autoSpaceDN w:val="0"/>
        <w:adjustRightInd w:val="0"/>
        <w:spacing w:line="276" w:lineRule="auto"/>
        <w:jc w:val="both"/>
        <w:rPr>
          <w:rFonts w:ascii="Arial" w:eastAsia="MS Mincho" w:hAnsi="Arial" w:cs="Arial"/>
          <w:color w:val="000000"/>
          <w:sz w:val="20"/>
          <w:szCs w:val="20"/>
          <w:lang w:val="fr-FR"/>
        </w:rPr>
      </w:pPr>
    </w:p>
    <w:p w:rsidR="00E50E77" w:rsidRPr="002E6746" w:rsidRDefault="00E50E77" w:rsidP="00E50E77">
      <w:pPr>
        <w:overflowPunct w:val="0"/>
        <w:autoSpaceDE w:val="0"/>
        <w:autoSpaceDN w:val="0"/>
        <w:adjustRightInd w:val="0"/>
        <w:spacing w:line="276" w:lineRule="auto"/>
        <w:jc w:val="both"/>
        <w:rPr>
          <w:rFonts w:ascii="Calibri" w:eastAsia="MS Mincho" w:hAnsi="Calibri"/>
          <w:b/>
          <w:lang w:val="fr-FR"/>
        </w:rPr>
      </w:pPr>
      <w:r w:rsidRPr="002E6746">
        <w:rPr>
          <w:rFonts w:ascii="Calibri" w:eastAsia="MS Mincho" w:hAnsi="Calibri"/>
          <w:b/>
          <w:lang w:val="fr-FR"/>
        </w:rPr>
        <w:t>Exigences de l’emploi</w:t>
      </w:r>
    </w:p>
    <w:p w:rsidR="00E50E77" w:rsidRPr="002E6746" w:rsidRDefault="00E50E77" w:rsidP="00E50E77">
      <w:pPr>
        <w:overflowPunct w:val="0"/>
        <w:autoSpaceDE w:val="0"/>
        <w:autoSpaceDN w:val="0"/>
        <w:adjustRightInd w:val="0"/>
        <w:spacing w:line="276" w:lineRule="auto"/>
        <w:jc w:val="both"/>
        <w:rPr>
          <w:rFonts w:ascii="Calibri" w:hAnsi="Calibri"/>
          <w:b/>
          <w:sz w:val="22"/>
          <w:szCs w:val="22"/>
          <w:lang w:val="fr-FR"/>
        </w:rPr>
      </w:pPr>
      <w:r>
        <w:rPr>
          <w:rFonts w:ascii="Calibri" w:eastAsia="MS Mincho" w:hAnsi="Calibri"/>
          <w:b/>
          <w:sz w:val="22"/>
          <w:szCs w:val="22"/>
          <w:u w:val="single"/>
          <w:lang w:val="fr-FR"/>
        </w:rPr>
        <w:t>Diplôme/formation</w:t>
      </w:r>
    </w:p>
    <w:p w:rsidR="00AB1D59" w:rsidRPr="00AB1D59" w:rsidRDefault="00AB1D59" w:rsidP="00AB1D59">
      <w:pPr>
        <w:numPr>
          <w:ilvl w:val="0"/>
          <w:numId w:val="2"/>
        </w:numPr>
        <w:jc w:val="both"/>
        <w:rPr>
          <w:rFonts w:ascii="Arial" w:hAnsi="Arial" w:cs="Arial"/>
          <w:sz w:val="20"/>
          <w:szCs w:val="20"/>
          <w:lang w:val="fr-FR"/>
        </w:rPr>
      </w:pPr>
      <w:r w:rsidRPr="00AB1D59">
        <w:rPr>
          <w:rFonts w:ascii="Arial" w:hAnsi="Arial" w:cs="Arial"/>
          <w:sz w:val="20"/>
          <w:szCs w:val="20"/>
          <w:lang w:val="fr-FR"/>
        </w:rPr>
        <w:t>Etre titulaire d’un diplôme d’ingénieur en génie civil / Bâtiment ;</w:t>
      </w:r>
    </w:p>
    <w:p w:rsidR="00AB1D59" w:rsidRPr="00AB1D59" w:rsidRDefault="00AB1D59" w:rsidP="00AB1D59">
      <w:pPr>
        <w:numPr>
          <w:ilvl w:val="0"/>
          <w:numId w:val="2"/>
        </w:numPr>
        <w:jc w:val="both"/>
        <w:rPr>
          <w:rFonts w:ascii="Arial" w:hAnsi="Arial" w:cs="Arial"/>
          <w:sz w:val="20"/>
          <w:szCs w:val="20"/>
          <w:lang w:val="fr-FR"/>
        </w:rPr>
      </w:pPr>
      <w:r w:rsidRPr="00AB1D59">
        <w:rPr>
          <w:rFonts w:ascii="Arial" w:hAnsi="Arial" w:cs="Arial"/>
          <w:sz w:val="20"/>
          <w:szCs w:val="20"/>
          <w:lang w:val="fr-FR"/>
        </w:rPr>
        <w:t>Avoir une expérience de cinq années dans le domaine du bâtiment et de préférence au niveau des infrastructures scolaires ;</w:t>
      </w:r>
    </w:p>
    <w:p w:rsidR="00AB1D59" w:rsidRPr="00AB1D59" w:rsidRDefault="00AB1D59" w:rsidP="00AB1D59">
      <w:pPr>
        <w:ind w:left="720"/>
        <w:jc w:val="both"/>
        <w:rPr>
          <w:rFonts w:ascii="Arial" w:hAnsi="Arial" w:cs="Arial"/>
          <w:sz w:val="20"/>
          <w:szCs w:val="20"/>
          <w:lang w:val="fr-FR"/>
        </w:rPr>
      </w:pPr>
    </w:p>
    <w:p w:rsidR="00AB1D59" w:rsidRPr="00AB1D59" w:rsidRDefault="00AB1D59" w:rsidP="00AB1D59">
      <w:pPr>
        <w:jc w:val="both"/>
        <w:rPr>
          <w:rFonts w:ascii="Arial" w:hAnsi="Arial" w:cs="Arial"/>
          <w:b/>
          <w:sz w:val="20"/>
          <w:szCs w:val="20"/>
          <w:u w:val="single"/>
          <w:lang w:val="fr-FR"/>
        </w:rPr>
      </w:pPr>
      <w:proofErr w:type="gramStart"/>
      <w:r w:rsidRPr="00AB1D59">
        <w:rPr>
          <w:rFonts w:ascii="Arial" w:hAnsi="Arial" w:cs="Arial"/>
          <w:b/>
          <w:sz w:val="20"/>
          <w:szCs w:val="20"/>
          <w:u w:val="single"/>
          <w:lang w:val="fr-FR"/>
        </w:rPr>
        <w:t>Expériences:</w:t>
      </w:r>
      <w:proofErr w:type="gramEnd"/>
      <w:r w:rsidRPr="00AB1D59">
        <w:rPr>
          <w:rFonts w:ascii="Arial" w:hAnsi="Arial" w:cs="Arial"/>
          <w:b/>
          <w:sz w:val="20"/>
          <w:szCs w:val="20"/>
          <w:u w:val="single"/>
          <w:lang w:val="fr-FR"/>
        </w:rPr>
        <w:t xml:space="preserve"> </w:t>
      </w:r>
    </w:p>
    <w:p w:rsidR="00AB1D59" w:rsidRPr="00AB1D59" w:rsidRDefault="00AB1D59" w:rsidP="00AB1D59">
      <w:pPr>
        <w:numPr>
          <w:ilvl w:val="0"/>
          <w:numId w:val="2"/>
        </w:numPr>
        <w:jc w:val="both"/>
        <w:rPr>
          <w:rFonts w:ascii="Arial" w:hAnsi="Arial" w:cs="Arial"/>
          <w:sz w:val="20"/>
          <w:szCs w:val="20"/>
          <w:lang w:val="fr-FR"/>
        </w:rPr>
      </w:pPr>
      <w:r w:rsidRPr="00AB1D59">
        <w:rPr>
          <w:rFonts w:ascii="Arial" w:hAnsi="Arial" w:cs="Arial"/>
          <w:sz w:val="20"/>
          <w:szCs w:val="20"/>
          <w:lang w:val="fr-FR"/>
        </w:rPr>
        <w:t>Avoir de fortes capacités relationnelles ;</w:t>
      </w:r>
    </w:p>
    <w:p w:rsidR="00AB1D59" w:rsidRPr="00AB1D59" w:rsidRDefault="00AB1D59" w:rsidP="00AB1D59">
      <w:pPr>
        <w:numPr>
          <w:ilvl w:val="0"/>
          <w:numId w:val="2"/>
        </w:numPr>
        <w:jc w:val="both"/>
        <w:rPr>
          <w:rFonts w:ascii="Arial" w:hAnsi="Arial" w:cs="Arial"/>
          <w:sz w:val="20"/>
          <w:szCs w:val="20"/>
          <w:lang w:val="fr-FR"/>
        </w:rPr>
      </w:pPr>
      <w:r w:rsidRPr="00AB1D59">
        <w:rPr>
          <w:rFonts w:ascii="Arial" w:hAnsi="Arial" w:cs="Arial"/>
          <w:sz w:val="20"/>
          <w:szCs w:val="20"/>
          <w:lang w:val="fr-FR"/>
        </w:rPr>
        <w:t>Avoir des capacités d’animation des équipes techniques dans tous l</w:t>
      </w:r>
      <w:r w:rsidR="001017A9">
        <w:rPr>
          <w:rFonts w:ascii="Arial" w:hAnsi="Arial" w:cs="Arial"/>
          <w:sz w:val="20"/>
          <w:szCs w:val="20"/>
          <w:lang w:val="fr-FR"/>
        </w:rPr>
        <w:t>es domaines de la construction </w:t>
      </w:r>
    </w:p>
    <w:p w:rsidR="00AB1D59" w:rsidRPr="00AB1D59" w:rsidRDefault="00AB1D59" w:rsidP="00AB1D59">
      <w:pPr>
        <w:numPr>
          <w:ilvl w:val="0"/>
          <w:numId w:val="2"/>
        </w:numPr>
        <w:jc w:val="both"/>
        <w:rPr>
          <w:rFonts w:ascii="Arial" w:hAnsi="Arial" w:cs="Arial"/>
          <w:sz w:val="20"/>
          <w:szCs w:val="20"/>
          <w:lang w:val="fr-FR"/>
        </w:rPr>
      </w:pPr>
      <w:r w:rsidRPr="00AB1D59">
        <w:rPr>
          <w:rFonts w:ascii="Arial" w:hAnsi="Arial" w:cs="Arial"/>
          <w:sz w:val="20"/>
          <w:szCs w:val="20"/>
          <w:lang w:val="fr-FR"/>
        </w:rPr>
        <w:t>Avoir une grande aptitude à effectuer des déplacements longs et en milieu rural ;</w:t>
      </w:r>
    </w:p>
    <w:p w:rsidR="00AB1D59" w:rsidRPr="00AB1D59" w:rsidRDefault="00AB1D59" w:rsidP="00AB1D59">
      <w:pPr>
        <w:numPr>
          <w:ilvl w:val="0"/>
          <w:numId w:val="2"/>
        </w:numPr>
        <w:jc w:val="both"/>
        <w:rPr>
          <w:rFonts w:ascii="Arial" w:hAnsi="Arial" w:cs="Arial"/>
          <w:sz w:val="20"/>
          <w:szCs w:val="20"/>
          <w:lang w:val="fr-FR"/>
        </w:rPr>
      </w:pPr>
      <w:r w:rsidRPr="00AB1D59">
        <w:rPr>
          <w:rFonts w:ascii="Arial" w:hAnsi="Arial" w:cs="Arial"/>
          <w:sz w:val="20"/>
          <w:szCs w:val="20"/>
          <w:lang w:val="fr-FR"/>
        </w:rPr>
        <w:t>Avoir une bonne connaissance des entreprises de construction, de la disponibilité des matériaux, des fournisseurs, du marché de l’emploi et des coûts de construction ;</w:t>
      </w:r>
    </w:p>
    <w:p w:rsidR="00AB1D59" w:rsidRPr="00AB1D59" w:rsidRDefault="00AB1D59" w:rsidP="00AB1D59">
      <w:pPr>
        <w:numPr>
          <w:ilvl w:val="0"/>
          <w:numId w:val="2"/>
        </w:numPr>
        <w:jc w:val="both"/>
        <w:rPr>
          <w:rFonts w:ascii="Arial" w:hAnsi="Arial" w:cs="Arial"/>
          <w:sz w:val="20"/>
          <w:szCs w:val="20"/>
          <w:lang w:val="fr-FR"/>
        </w:rPr>
      </w:pPr>
      <w:r w:rsidRPr="00AB1D59">
        <w:rPr>
          <w:rFonts w:ascii="Arial" w:hAnsi="Arial" w:cs="Arial"/>
          <w:sz w:val="20"/>
          <w:szCs w:val="20"/>
          <w:lang w:val="fr-FR"/>
        </w:rPr>
        <w:t>Etre capable à gérer les difficultés liées à l’éloignement et l’isolement de certains sites ;</w:t>
      </w:r>
    </w:p>
    <w:p w:rsidR="00AB1D59" w:rsidRPr="00AB1D59" w:rsidRDefault="00AB1D59" w:rsidP="00AB1D59">
      <w:pPr>
        <w:numPr>
          <w:ilvl w:val="0"/>
          <w:numId w:val="2"/>
        </w:numPr>
        <w:jc w:val="both"/>
        <w:rPr>
          <w:rFonts w:ascii="Arial" w:hAnsi="Arial" w:cs="Arial"/>
          <w:sz w:val="20"/>
          <w:szCs w:val="20"/>
          <w:lang w:val="fr-FR"/>
        </w:rPr>
      </w:pPr>
      <w:r w:rsidRPr="00AB1D59">
        <w:rPr>
          <w:rFonts w:ascii="Arial" w:hAnsi="Arial" w:cs="Arial"/>
          <w:sz w:val="20"/>
          <w:szCs w:val="20"/>
          <w:lang w:val="fr-FR"/>
        </w:rPr>
        <w:t>Avoir une capacité d’anticipation des activités liées aux opérations de construction/réhabilitation.</w:t>
      </w:r>
    </w:p>
    <w:p w:rsidR="00AB1D59" w:rsidRPr="00AB1D59" w:rsidRDefault="00AB1D59" w:rsidP="00AB1D59">
      <w:pPr>
        <w:autoSpaceDE w:val="0"/>
        <w:autoSpaceDN w:val="0"/>
        <w:adjustRightInd w:val="0"/>
        <w:jc w:val="both"/>
        <w:rPr>
          <w:rFonts w:ascii="Calibri" w:eastAsia="MS Mincho" w:hAnsi="Calibri"/>
          <w:color w:val="000000"/>
          <w:sz w:val="22"/>
          <w:szCs w:val="22"/>
          <w:lang w:val="fr-FR"/>
        </w:rPr>
      </w:pPr>
      <w:proofErr w:type="gramStart"/>
      <w:r w:rsidRPr="00AB1D59">
        <w:rPr>
          <w:rFonts w:ascii="Calibri" w:eastAsia="MS Mincho" w:hAnsi="Calibri"/>
          <w:b/>
          <w:color w:val="000000"/>
          <w:sz w:val="22"/>
          <w:szCs w:val="22"/>
          <w:u w:val="single"/>
          <w:lang w:val="fr-FR"/>
        </w:rPr>
        <w:t>Langues</w:t>
      </w:r>
      <w:r w:rsidRPr="00AB1D59">
        <w:rPr>
          <w:rFonts w:ascii="Calibri" w:eastAsia="MS Mincho" w:hAnsi="Calibri"/>
          <w:color w:val="000000"/>
          <w:sz w:val="22"/>
          <w:szCs w:val="22"/>
          <w:lang w:val="fr-FR"/>
        </w:rPr>
        <w:t>:</w:t>
      </w:r>
      <w:proofErr w:type="gramEnd"/>
      <w:r w:rsidRPr="00AB1D59">
        <w:rPr>
          <w:rFonts w:ascii="Calibri" w:eastAsia="MS Mincho" w:hAnsi="Calibri"/>
          <w:color w:val="000000"/>
          <w:sz w:val="22"/>
          <w:szCs w:val="22"/>
          <w:lang w:val="fr-FR"/>
        </w:rPr>
        <w:t xml:space="preserve"> </w:t>
      </w:r>
    </w:p>
    <w:p w:rsidR="00AB1D59" w:rsidRPr="00AB1D59" w:rsidRDefault="00AB1D59" w:rsidP="00AB1D59">
      <w:pPr>
        <w:autoSpaceDE w:val="0"/>
        <w:autoSpaceDN w:val="0"/>
        <w:adjustRightInd w:val="0"/>
        <w:jc w:val="both"/>
        <w:rPr>
          <w:rFonts w:ascii="Calibri" w:eastAsia="MS Mincho" w:hAnsi="Calibri"/>
          <w:color w:val="000000"/>
          <w:sz w:val="22"/>
          <w:szCs w:val="22"/>
          <w:lang w:val="fr-FR"/>
        </w:rPr>
      </w:pPr>
      <w:r w:rsidRPr="00AB1D59">
        <w:rPr>
          <w:rFonts w:ascii="Calibri" w:eastAsia="MS Mincho" w:hAnsi="Calibri"/>
          <w:color w:val="000000"/>
          <w:sz w:val="22"/>
          <w:szCs w:val="22"/>
          <w:lang w:val="fr-FR"/>
        </w:rPr>
        <w:t>•</w:t>
      </w:r>
      <w:r w:rsidRPr="00AB1D59">
        <w:rPr>
          <w:rFonts w:ascii="Calibri" w:eastAsia="MS Mincho" w:hAnsi="Calibri"/>
          <w:color w:val="000000"/>
          <w:sz w:val="22"/>
          <w:szCs w:val="22"/>
          <w:lang w:val="fr-FR"/>
        </w:rPr>
        <w:tab/>
        <w:t xml:space="preserve">Maitrise du français et du créole à l’oral et à l’écrit  </w:t>
      </w:r>
    </w:p>
    <w:p w:rsidR="00AB1D59" w:rsidRPr="00AB1D59" w:rsidRDefault="00AB1D59" w:rsidP="00AB1D59">
      <w:pPr>
        <w:autoSpaceDE w:val="0"/>
        <w:autoSpaceDN w:val="0"/>
        <w:adjustRightInd w:val="0"/>
        <w:jc w:val="both"/>
        <w:rPr>
          <w:rFonts w:ascii="Calibri" w:eastAsia="MS Mincho" w:hAnsi="Calibri"/>
          <w:color w:val="000000"/>
          <w:sz w:val="22"/>
          <w:szCs w:val="22"/>
          <w:lang w:val="fr-FR"/>
        </w:rPr>
      </w:pPr>
      <w:r w:rsidRPr="00AB1D59">
        <w:rPr>
          <w:rFonts w:ascii="Calibri" w:eastAsia="MS Mincho" w:hAnsi="Calibri"/>
          <w:color w:val="000000"/>
          <w:sz w:val="22"/>
          <w:szCs w:val="22"/>
          <w:lang w:val="fr-FR"/>
        </w:rPr>
        <w:t>•</w:t>
      </w:r>
      <w:r w:rsidRPr="00AB1D59">
        <w:rPr>
          <w:rFonts w:ascii="Calibri" w:eastAsia="MS Mincho" w:hAnsi="Calibri"/>
          <w:color w:val="000000"/>
          <w:sz w:val="22"/>
          <w:szCs w:val="22"/>
          <w:lang w:val="fr-FR"/>
        </w:rPr>
        <w:tab/>
        <w:t>L’anglais est un atout</w:t>
      </w:r>
    </w:p>
    <w:p w:rsidR="00AB1D59" w:rsidRPr="00AB1D59" w:rsidRDefault="00AB1D59" w:rsidP="00AB1D59">
      <w:pPr>
        <w:autoSpaceDE w:val="0"/>
        <w:autoSpaceDN w:val="0"/>
        <w:adjustRightInd w:val="0"/>
        <w:jc w:val="both"/>
        <w:rPr>
          <w:rFonts w:ascii="Calibri" w:eastAsia="MS Mincho" w:hAnsi="Calibri"/>
          <w:color w:val="000000"/>
          <w:sz w:val="22"/>
          <w:szCs w:val="22"/>
          <w:lang w:val="fr-FR"/>
        </w:rPr>
      </w:pPr>
    </w:p>
    <w:p w:rsidR="00AB1D59" w:rsidRPr="00AB1D59" w:rsidRDefault="00AB1D59" w:rsidP="00AB1D59">
      <w:pPr>
        <w:autoSpaceDE w:val="0"/>
        <w:autoSpaceDN w:val="0"/>
        <w:adjustRightInd w:val="0"/>
        <w:jc w:val="both"/>
        <w:rPr>
          <w:rFonts w:ascii="Calibri" w:eastAsia="MS Mincho" w:hAnsi="Calibri"/>
          <w:b/>
          <w:color w:val="000000"/>
          <w:sz w:val="22"/>
          <w:szCs w:val="22"/>
          <w:u w:val="single"/>
          <w:lang w:val="fr-FR"/>
        </w:rPr>
      </w:pPr>
      <w:r w:rsidRPr="00AB1D59">
        <w:rPr>
          <w:rFonts w:ascii="Calibri" w:eastAsia="MS Mincho" w:hAnsi="Calibri"/>
          <w:b/>
          <w:color w:val="000000"/>
          <w:sz w:val="22"/>
          <w:szCs w:val="22"/>
          <w:u w:val="single"/>
          <w:lang w:val="fr-FR"/>
        </w:rPr>
        <w:t xml:space="preserve">Compétences informatiques : </w:t>
      </w:r>
    </w:p>
    <w:p w:rsidR="00AB1D59" w:rsidRPr="00AB1D59" w:rsidRDefault="00AB1D59" w:rsidP="00AB1D59">
      <w:pPr>
        <w:autoSpaceDE w:val="0"/>
        <w:autoSpaceDN w:val="0"/>
        <w:adjustRightInd w:val="0"/>
        <w:jc w:val="both"/>
        <w:rPr>
          <w:rFonts w:ascii="Calibri" w:eastAsia="MS Mincho" w:hAnsi="Calibri"/>
          <w:color w:val="000000"/>
          <w:sz w:val="22"/>
          <w:szCs w:val="22"/>
          <w:lang w:val="fr-FR"/>
        </w:rPr>
      </w:pPr>
      <w:r w:rsidRPr="00AB1D59">
        <w:rPr>
          <w:rFonts w:ascii="Calibri" w:eastAsia="MS Mincho" w:hAnsi="Calibri"/>
          <w:color w:val="000000"/>
          <w:sz w:val="22"/>
          <w:szCs w:val="22"/>
          <w:lang w:val="fr-FR"/>
        </w:rPr>
        <w:t>•</w:t>
      </w:r>
      <w:r w:rsidRPr="00AB1D59">
        <w:rPr>
          <w:rFonts w:ascii="Calibri" w:eastAsia="MS Mincho" w:hAnsi="Calibri"/>
          <w:color w:val="000000"/>
          <w:sz w:val="22"/>
          <w:szCs w:val="22"/>
          <w:lang w:val="fr-FR"/>
        </w:rPr>
        <w:tab/>
        <w:t>Maitrise du pack office et autres logiciels courants</w:t>
      </w:r>
    </w:p>
    <w:p w:rsidR="00E50E77" w:rsidRPr="002E6746" w:rsidRDefault="00AB1D59" w:rsidP="00AB1D59">
      <w:pPr>
        <w:autoSpaceDE w:val="0"/>
        <w:autoSpaceDN w:val="0"/>
        <w:adjustRightInd w:val="0"/>
        <w:jc w:val="both"/>
        <w:rPr>
          <w:rFonts w:ascii="Calibri" w:eastAsia="MS Mincho" w:hAnsi="Calibri"/>
          <w:color w:val="000000"/>
          <w:sz w:val="22"/>
          <w:szCs w:val="22"/>
          <w:lang w:val="fr-FR"/>
        </w:rPr>
      </w:pPr>
      <w:r w:rsidRPr="00AB1D59">
        <w:rPr>
          <w:rFonts w:ascii="Calibri" w:eastAsia="MS Mincho" w:hAnsi="Calibri"/>
          <w:color w:val="000000"/>
          <w:sz w:val="22"/>
          <w:szCs w:val="22"/>
          <w:lang w:val="fr-FR"/>
        </w:rPr>
        <w:t>•</w:t>
      </w:r>
      <w:r w:rsidRPr="00AB1D59">
        <w:rPr>
          <w:rFonts w:ascii="Calibri" w:eastAsia="MS Mincho" w:hAnsi="Calibri"/>
          <w:color w:val="000000"/>
          <w:sz w:val="22"/>
          <w:szCs w:val="22"/>
          <w:lang w:val="fr-FR"/>
        </w:rPr>
        <w:tab/>
        <w:t>Maitrise du logiciel Atlas, PeopleSoft, et d’autres logiciels utilisées par les Nations Unies est un atout</w:t>
      </w:r>
      <w:r w:rsidR="001017A9">
        <w:rPr>
          <w:rFonts w:ascii="Calibri" w:eastAsia="MS Mincho" w:hAnsi="Calibri"/>
          <w:color w:val="000000"/>
          <w:sz w:val="22"/>
          <w:szCs w:val="22"/>
          <w:lang w:val="fr-FR"/>
        </w:rPr>
        <w:t>.</w:t>
      </w:r>
    </w:p>
    <w:p w:rsidR="00530C5D" w:rsidRDefault="00E50E77" w:rsidP="00E50E77">
      <w:pPr>
        <w:jc w:val="both"/>
        <w:rPr>
          <w:rFonts w:ascii="Calibri" w:eastAsia="MS Mincho" w:hAnsi="Calibri"/>
          <w:b/>
          <w:bCs/>
          <w:sz w:val="22"/>
          <w:szCs w:val="22"/>
          <w:u w:val="single"/>
          <w:lang w:val="fr-CA"/>
        </w:rPr>
      </w:pPr>
      <w:r w:rsidRPr="002E6746">
        <w:rPr>
          <w:rFonts w:ascii="Calibri" w:eastAsia="MS Mincho" w:hAnsi="Calibri"/>
          <w:sz w:val="22"/>
          <w:szCs w:val="22"/>
          <w:lang w:val="fr-CA"/>
        </w:rPr>
        <w:t xml:space="preserve"> Les personnes intéressées peuvent télécharger les termes de référence </w:t>
      </w:r>
      <w:r w:rsidR="00D52861">
        <w:rPr>
          <w:rFonts w:ascii="Calibri" w:eastAsia="MS Mincho" w:hAnsi="Calibri"/>
          <w:sz w:val="22"/>
          <w:szCs w:val="22"/>
          <w:lang w:val="fr-CA"/>
        </w:rPr>
        <w:t>et le P</w:t>
      </w:r>
      <w:bookmarkStart w:id="0" w:name="_GoBack"/>
      <w:bookmarkEnd w:id="0"/>
      <w:r w:rsidR="00D52861">
        <w:rPr>
          <w:rFonts w:ascii="Calibri" w:eastAsia="MS Mincho" w:hAnsi="Calibri"/>
          <w:sz w:val="22"/>
          <w:szCs w:val="22"/>
          <w:lang w:val="fr-CA"/>
        </w:rPr>
        <w:t>11 sur</w:t>
      </w:r>
      <w:r w:rsidRPr="002E6746">
        <w:rPr>
          <w:rFonts w:ascii="Calibri" w:eastAsia="MS Mincho" w:hAnsi="Calibri"/>
          <w:sz w:val="22"/>
          <w:szCs w:val="22"/>
          <w:lang w:val="fr-CA"/>
        </w:rPr>
        <w:t xml:space="preserve"> le site de l’UNFPA en </w:t>
      </w:r>
      <w:proofErr w:type="gramStart"/>
      <w:r w:rsidRPr="002E6746">
        <w:rPr>
          <w:rFonts w:ascii="Calibri" w:eastAsia="MS Mincho" w:hAnsi="Calibri"/>
          <w:sz w:val="22"/>
          <w:szCs w:val="22"/>
          <w:lang w:val="fr-CA"/>
        </w:rPr>
        <w:t>Haïti:</w:t>
      </w:r>
      <w:proofErr w:type="gramEnd"/>
      <w:r w:rsidRPr="002E6746">
        <w:rPr>
          <w:rFonts w:ascii="Calibri" w:eastAsia="MS Mincho" w:hAnsi="Calibri"/>
          <w:sz w:val="22"/>
          <w:szCs w:val="22"/>
          <w:lang w:val="fr-CA"/>
        </w:rPr>
        <w:t xml:space="preserve"> </w:t>
      </w:r>
      <w:r w:rsidR="00D52861">
        <w:rPr>
          <w:rFonts w:ascii="Calibri" w:eastAsia="MS Mincho" w:hAnsi="Calibri"/>
          <w:sz w:val="22"/>
          <w:szCs w:val="22"/>
          <w:lang w:val="fr-CA"/>
        </w:rPr>
        <w:t>haiti.</w:t>
      </w:r>
      <w:r w:rsidRPr="002E6746">
        <w:rPr>
          <w:rFonts w:ascii="Calibri" w:eastAsia="MS Mincho" w:hAnsi="Calibri"/>
          <w:color w:val="0000FF"/>
          <w:sz w:val="22"/>
          <w:szCs w:val="22"/>
          <w:u w:val="single"/>
          <w:lang w:val="fr-CA"/>
        </w:rPr>
        <w:t>unfpa</w:t>
      </w:r>
      <w:r w:rsidR="00D52861">
        <w:rPr>
          <w:rFonts w:ascii="Calibri" w:eastAsia="MS Mincho" w:hAnsi="Calibri"/>
          <w:color w:val="0000FF"/>
          <w:sz w:val="22"/>
          <w:szCs w:val="22"/>
          <w:u w:val="single"/>
          <w:lang w:val="fr-CA"/>
        </w:rPr>
        <w:t>.</w:t>
      </w:r>
      <w:r w:rsidRPr="002E6746">
        <w:rPr>
          <w:rFonts w:ascii="Calibri" w:eastAsia="MS Mincho" w:hAnsi="Calibri"/>
          <w:color w:val="0000FF"/>
          <w:sz w:val="22"/>
          <w:szCs w:val="22"/>
          <w:u w:val="single"/>
          <w:lang w:val="fr-CA"/>
        </w:rPr>
        <w:t>org</w:t>
      </w:r>
      <w:r w:rsidRPr="002E6746">
        <w:rPr>
          <w:rFonts w:ascii="Calibri" w:eastAsia="MS Mincho" w:hAnsi="Calibri"/>
          <w:sz w:val="22"/>
          <w:szCs w:val="22"/>
          <w:u w:val="single"/>
          <w:lang w:val="fr-CA"/>
        </w:rPr>
        <w:t xml:space="preserve">. </w:t>
      </w:r>
      <w:r w:rsidRPr="002E6746">
        <w:rPr>
          <w:rFonts w:ascii="Calibri" w:eastAsia="MS Mincho" w:hAnsi="Calibri"/>
          <w:sz w:val="22"/>
          <w:szCs w:val="22"/>
          <w:lang w:val="fr-CA"/>
        </w:rPr>
        <w:t xml:space="preserve">Le délai pour le dépôt des candidatures par courrier électronique à l’adresse </w:t>
      </w:r>
      <w:hyperlink r:id="rId6" w:history="1">
        <w:r w:rsidRPr="002E6746">
          <w:rPr>
            <w:rFonts w:ascii="Calibri" w:eastAsia="MS Mincho" w:hAnsi="Calibri"/>
            <w:b/>
            <w:bCs/>
            <w:color w:val="0000FF"/>
            <w:sz w:val="22"/>
            <w:szCs w:val="22"/>
            <w:u w:val="single"/>
            <w:lang w:val="fr-CA"/>
          </w:rPr>
          <w:t>haiti.office@unfpa.org</w:t>
        </w:r>
      </w:hyperlink>
      <w:r w:rsidRPr="002E6746">
        <w:rPr>
          <w:rFonts w:ascii="Calibri" w:eastAsia="MS Mincho" w:hAnsi="Calibri"/>
          <w:b/>
          <w:bCs/>
          <w:sz w:val="22"/>
          <w:szCs w:val="22"/>
          <w:lang w:val="fr-CA"/>
        </w:rPr>
        <w:t xml:space="preserve"> </w:t>
      </w:r>
      <w:r w:rsidRPr="002E6746">
        <w:rPr>
          <w:rFonts w:ascii="Calibri" w:eastAsia="MS Mincho" w:hAnsi="Calibri"/>
          <w:sz w:val="22"/>
          <w:szCs w:val="22"/>
          <w:u w:val="single"/>
          <w:lang w:val="fr-CA"/>
        </w:rPr>
        <w:t xml:space="preserve">ou au local du </w:t>
      </w:r>
      <w:r w:rsidRPr="002E6746">
        <w:rPr>
          <w:rFonts w:ascii="Calibri" w:eastAsia="MS Mincho" w:hAnsi="Calibri"/>
          <w:b/>
          <w:bCs/>
          <w:sz w:val="22"/>
          <w:szCs w:val="22"/>
          <w:u w:val="single"/>
          <w:lang w:val="fr-CA"/>
        </w:rPr>
        <w:t xml:space="preserve">« </w:t>
      </w:r>
      <w:r w:rsidR="00530C5D">
        <w:rPr>
          <w:rFonts w:ascii="Calibri" w:eastAsia="MS Mincho" w:hAnsi="Calibri"/>
          <w:b/>
          <w:bCs/>
          <w:sz w:val="22"/>
          <w:szCs w:val="22"/>
          <w:u w:val="single"/>
          <w:lang w:val="fr-CA"/>
        </w:rPr>
        <w:t xml:space="preserve">UNFPA, </w:t>
      </w:r>
      <w:r w:rsidRPr="002E6746">
        <w:rPr>
          <w:rFonts w:ascii="Calibri" w:eastAsia="MS Mincho" w:hAnsi="Calibri"/>
          <w:b/>
          <w:bCs/>
          <w:sz w:val="22"/>
          <w:szCs w:val="22"/>
          <w:u w:val="single"/>
          <w:lang w:val="fr-CA"/>
        </w:rPr>
        <w:t xml:space="preserve">Fonds des Nations </w:t>
      </w:r>
      <w:r w:rsidR="00530C5D">
        <w:rPr>
          <w:rFonts w:ascii="Calibri" w:eastAsia="MS Mincho" w:hAnsi="Calibri"/>
          <w:b/>
          <w:bCs/>
          <w:sz w:val="22"/>
          <w:szCs w:val="22"/>
          <w:u w:val="single"/>
          <w:lang w:val="fr-CA"/>
        </w:rPr>
        <w:t xml:space="preserve">Unies pour la Population </w:t>
      </w:r>
    </w:p>
    <w:p w:rsidR="001017A9" w:rsidRDefault="00530C5D" w:rsidP="00E50E77">
      <w:pPr>
        <w:jc w:val="both"/>
        <w:rPr>
          <w:rFonts w:ascii="Tahoma" w:hAnsi="Tahoma" w:cs="Tahoma"/>
          <w:b/>
          <w:sz w:val="20"/>
          <w:szCs w:val="20"/>
          <w:lang w:val="fr-FR"/>
        </w:rPr>
      </w:pPr>
      <w:hyperlink r:id="rId7" w:tgtFrame="_blank" w:history="1">
        <w:r w:rsidR="00E50E77" w:rsidRPr="002E6746">
          <w:rPr>
            <w:rFonts w:ascii="Tahoma" w:hAnsi="Tahoma" w:cs="Tahoma"/>
            <w:color w:val="1155CC"/>
            <w:sz w:val="20"/>
            <w:szCs w:val="20"/>
            <w:u w:val="single"/>
            <w:lang w:val="fr-FR"/>
          </w:rPr>
          <w:t>352, Ave John Brown</w:t>
        </w:r>
      </w:hyperlink>
      <w:r w:rsidR="00E50E77" w:rsidRPr="002E6746">
        <w:rPr>
          <w:rFonts w:ascii="Tahoma" w:hAnsi="Tahoma" w:cs="Tahoma"/>
          <w:color w:val="222222"/>
          <w:sz w:val="20"/>
          <w:szCs w:val="20"/>
          <w:lang w:val="fr-FR"/>
        </w:rPr>
        <w:t>-Bourdon. Port au Prince, Haïti</w:t>
      </w:r>
      <w:r w:rsidR="00E50E77" w:rsidRPr="002E6746">
        <w:rPr>
          <w:rFonts w:ascii="Tahoma" w:hAnsi="Tahoma" w:cs="Tahoma"/>
          <w:b/>
          <w:sz w:val="20"/>
          <w:szCs w:val="20"/>
          <w:lang w:val="fr-FR"/>
        </w:rPr>
        <w:t> »</w:t>
      </w:r>
    </w:p>
    <w:p w:rsidR="00D52861" w:rsidRPr="001017A9" w:rsidRDefault="00D52861" w:rsidP="00E50E77">
      <w:pPr>
        <w:jc w:val="both"/>
        <w:rPr>
          <w:rFonts w:ascii="Calibri" w:eastAsia="MS Mincho" w:hAnsi="Calibri"/>
          <w:sz w:val="22"/>
          <w:szCs w:val="22"/>
          <w:lang w:val="fr-CA"/>
        </w:rPr>
      </w:pPr>
    </w:p>
    <w:p w:rsidR="00AB1D59" w:rsidRDefault="00AB1D59" w:rsidP="00AB1D59">
      <w:pPr>
        <w:ind w:right="144"/>
        <w:jc w:val="both"/>
        <w:rPr>
          <w:rFonts w:ascii="Tahoma" w:hAnsi="Tahoma" w:cs="Tahoma"/>
          <w:b/>
          <w:sz w:val="20"/>
          <w:szCs w:val="20"/>
          <w:lang w:val="fr-FR"/>
        </w:rPr>
      </w:pPr>
      <w:r w:rsidRPr="00AB1D59">
        <w:rPr>
          <w:rFonts w:ascii="Tahoma" w:hAnsi="Tahoma" w:cs="Tahoma"/>
          <w:b/>
          <w:sz w:val="20"/>
          <w:szCs w:val="20"/>
          <w:lang w:val="fr-FR"/>
        </w:rPr>
        <w:t>Le délai pour le dépôt des dossie</w:t>
      </w:r>
      <w:r w:rsidR="001017A9">
        <w:rPr>
          <w:rFonts w:ascii="Tahoma" w:hAnsi="Tahoma" w:cs="Tahoma"/>
          <w:b/>
          <w:sz w:val="20"/>
          <w:szCs w:val="20"/>
          <w:lang w:val="fr-FR"/>
        </w:rPr>
        <w:t>rs de candidature</w:t>
      </w:r>
      <w:r w:rsidR="00D52861">
        <w:rPr>
          <w:rFonts w:ascii="Tahoma" w:hAnsi="Tahoma" w:cs="Tahoma"/>
          <w:b/>
          <w:sz w:val="20"/>
          <w:szCs w:val="20"/>
          <w:lang w:val="fr-FR"/>
        </w:rPr>
        <w:t xml:space="preserve"> incluant le P11 rempli</w:t>
      </w:r>
      <w:r w:rsidR="001017A9">
        <w:rPr>
          <w:rFonts w:ascii="Tahoma" w:hAnsi="Tahoma" w:cs="Tahoma"/>
          <w:b/>
          <w:sz w:val="20"/>
          <w:szCs w:val="20"/>
          <w:lang w:val="fr-FR"/>
        </w:rPr>
        <w:t xml:space="preserve"> est fixé au 17</w:t>
      </w:r>
      <w:r w:rsidRPr="00AB1D59">
        <w:rPr>
          <w:rFonts w:ascii="Tahoma" w:hAnsi="Tahoma" w:cs="Tahoma"/>
          <w:b/>
          <w:sz w:val="20"/>
          <w:szCs w:val="20"/>
          <w:lang w:val="fr-FR"/>
        </w:rPr>
        <w:t xml:space="preserve"> aout 2018</w:t>
      </w:r>
      <w:r w:rsidR="001017A9">
        <w:rPr>
          <w:rFonts w:ascii="Tahoma" w:hAnsi="Tahoma" w:cs="Tahoma"/>
          <w:b/>
          <w:sz w:val="20"/>
          <w:szCs w:val="20"/>
          <w:lang w:val="fr-FR"/>
        </w:rPr>
        <w:t>, à 12 :30 pm</w:t>
      </w:r>
      <w:r w:rsidRPr="00AB1D59">
        <w:rPr>
          <w:rFonts w:ascii="Tahoma" w:hAnsi="Tahoma" w:cs="Tahoma"/>
          <w:b/>
          <w:sz w:val="20"/>
          <w:szCs w:val="20"/>
          <w:lang w:val="fr-FR"/>
        </w:rPr>
        <w:t>.</w:t>
      </w:r>
    </w:p>
    <w:p w:rsidR="00D52861" w:rsidRPr="00AB1D59" w:rsidRDefault="00D52861" w:rsidP="00AB1D59">
      <w:pPr>
        <w:ind w:right="144"/>
        <w:jc w:val="both"/>
        <w:rPr>
          <w:rFonts w:ascii="Tahoma" w:hAnsi="Tahoma" w:cs="Tahoma"/>
          <w:sz w:val="20"/>
          <w:szCs w:val="20"/>
          <w:lang w:val="fr-FR"/>
        </w:rPr>
      </w:pPr>
    </w:p>
    <w:p w:rsidR="00AB1D59" w:rsidRPr="002E6746" w:rsidRDefault="00AB1D59" w:rsidP="00E50E77">
      <w:pPr>
        <w:jc w:val="both"/>
        <w:rPr>
          <w:rFonts w:ascii="Calibri" w:eastAsia="MS Mincho" w:hAnsi="Calibri"/>
          <w:b/>
          <w:sz w:val="22"/>
          <w:szCs w:val="22"/>
          <w:lang w:val="fr-FR"/>
        </w:rPr>
      </w:pPr>
    </w:p>
    <w:p w:rsidR="00E50E77" w:rsidRPr="002E6746" w:rsidRDefault="00E50E77" w:rsidP="00E50E77">
      <w:pPr>
        <w:rPr>
          <w:lang w:val="fr-FR"/>
        </w:rPr>
      </w:pPr>
    </w:p>
    <w:p w:rsidR="00E50E77" w:rsidRPr="00AB1D59" w:rsidRDefault="00E50E77" w:rsidP="00E50E77">
      <w:pPr>
        <w:rPr>
          <w:lang w:val="fr-FR"/>
        </w:rPr>
      </w:pPr>
    </w:p>
    <w:p w:rsidR="00567D10" w:rsidRPr="00AB1D59" w:rsidRDefault="00D52861">
      <w:pPr>
        <w:rPr>
          <w:lang w:val="fr-FR"/>
        </w:rPr>
      </w:pPr>
    </w:p>
    <w:sectPr w:rsidR="00567D10" w:rsidRPr="00AB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B7F"/>
    <w:multiLevelType w:val="hybridMultilevel"/>
    <w:tmpl w:val="D58E4118"/>
    <w:lvl w:ilvl="0" w:tplc="1C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3A3370"/>
    <w:multiLevelType w:val="hybridMultilevel"/>
    <w:tmpl w:val="3EEC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77"/>
    <w:rsid w:val="001017A9"/>
    <w:rsid w:val="00530C5D"/>
    <w:rsid w:val="0088499C"/>
    <w:rsid w:val="00AB1D59"/>
    <w:rsid w:val="00D52861"/>
    <w:rsid w:val="00E50E77"/>
    <w:rsid w:val="00E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6FAC"/>
  <w15:chartTrackingRefBased/>
  <w15:docId w15:val="{757E0926-9E6D-4A28-96A2-31C76D4D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352,+Ave+John+Brown&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ti.office@unfp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UNFPA-Haiti</dc:creator>
  <cp:keywords/>
  <dc:description/>
  <cp:lastModifiedBy>UNFPA-Haiti</cp:lastModifiedBy>
  <cp:revision>2</cp:revision>
  <dcterms:created xsi:type="dcterms:W3CDTF">2018-08-02T20:21:00Z</dcterms:created>
  <dcterms:modified xsi:type="dcterms:W3CDTF">2018-08-02T20:21:00Z</dcterms:modified>
</cp:coreProperties>
</file>