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1B31C" w14:textId="77777777" w:rsidR="00A552C1" w:rsidRPr="001F3D27" w:rsidRDefault="001F3D27">
      <w:pPr>
        <w:jc w:val="center"/>
        <w:rPr>
          <w:rFonts w:ascii="Arial" w:eastAsia="Arial" w:hAnsi="Arial" w:cs="Arial"/>
          <w:sz w:val="28"/>
          <w:szCs w:val="28"/>
        </w:rPr>
      </w:pPr>
      <w:bookmarkStart w:id="0" w:name="_GoBack"/>
      <w:bookmarkEnd w:id="0"/>
      <w:r w:rsidRPr="001F3D27">
        <w:rPr>
          <w:rFonts w:ascii="Arial" w:eastAsia="Arial" w:hAnsi="Arial" w:cs="Arial"/>
          <w:b/>
          <w:sz w:val="28"/>
          <w:szCs w:val="28"/>
        </w:rPr>
        <w:t>TERMS OF REFERENCE FOR INDIVIDUAL CONSULTANT</w:t>
      </w:r>
    </w:p>
    <w:p w14:paraId="07613721" w14:textId="77777777" w:rsidR="00A552C1" w:rsidRPr="001F3D27" w:rsidRDefault="00A552C1">
      <w:pPr>
        <w:jc w:val="center"/>
        <w:rPr>
          <w:rFonts w:ascii="Arial" w:eastAsia="Arial" w:hAnsi="Arial" w:cs="Arial"/>
          <w:sz w:val="16"/>
          <w:szCs w:val="16"/>
        </w:rPr>
      </w:pPr>
    </w:p>
    <w:tbl>
      <w:tblPr>
        <w:tblStyle w:val="a"/>
        <w:tblW w:w="10440" w:type="dxa"/>
        <w:tblInd w:w="-303" w:type="dxa"/>
        <w:tblLayout w:type="fixed"/>
        <w:tblLook w:val="0000" w:firstRow="0" w:lastRow="0" w:firstColumn="0" w:lastColumn="0" w:noHBand="0" w:noVBand="0"/>
      </w:tblPr>
      <w:tblGrid>
        <w:gridCol w:w="2730"/>
        <w:gridCol w:w="7710"/>
      </w:tblGrid>
      <w:tr w:rsidR="00A552C1" w:rsidRPr="001F3D27" w14:paraId="2AE61088" w14:textId="77777777">
        <w:trPr>
          <w:trHeight w:val="200"/>
        </w:trPr>
        <w:tc>
          <w:tcPr>
            <w:tcW w:w="10440" w:type="dxa"/>
            <w:gridSpan w:val="2"/>
            <w:tcBorders>
              <w:top w:val="single" w:sz="6" w:space="0" w:color="000000"/>
              <w:left w:val="single" w:sz="6" w:space="0" w:color="000000"/>
              <w:bottom w:val="single" w:sz="6" w:space="0" w:color="000000"/>
              <w:right w:val="single" w:sz="6" w:space="0" w:color="000000"/>
            </w:tcBorders>
            <w:shd w:val="clear" w:color="auto" w:fill="E6E6E6"/>
          </w:tcPr>
          <w:p w14:paraId="378CAD6D" w14:textId="77777777" w:rsidR="00A552C1" w:rsidRPr="001F3D27" w:rsidRDefault="001F3D27">
            <w:pPr>
              <w:tabs>
                <w:tab w:val="left" w:pos="-720"/>
              </w:tabs>
              <w:spacing w:before="109" w:after="54"/>
              <w:rPr>
                <w:rFonts w:ascii="Arial" w:eastAsia="Arial" w:hAnsi="Arial" w:cs="Arial"/>
                <w:sz w:val="18"/>
                <w:szCs w:val="18"/>
              </w:rPr>
            </w:pPr>
            <w:r w:rsidRPr="001F3D27">
              <w:rPr>
                <w:rFonts w:ascii="Arial" w:eastAsia="Arial" w:hAnsi="Arial" w:cs="Arial"/>
                <w:b/>
                <w:sz w:val="18"/>
                <w:szCs w:val="18"/>
              </w:rPr>
              <w:t xml:space="preserve">TERMS OF REFERENCE  </w:t>
            </w:r>
          </w:p>
        </w:tc>
      </w:tr>
      <w:tr w:rsidR="00FC3313" w:rsidRPr="001F3D27" w14:paraId="46B0A56E" w14:textId="77777777">
        <w:tc>
          <w:tcPr>
            <w:tcW w:w="2730" w:type="dxa"/>
            <w:tcBorders>
              <w:top w:val="single" w:sz="6" w:space="0" w:color="000000"/>
              <w:left w:val="single" w:sz="6" w:space="0" w:color="000000"/>
              <w:bottom w:val="single" w:sz="4" w:space="0" w:color="000000"/>
            </w:tcBorders>
          </w:tcPr>
          <w:p w14:paraId="32960EC8" w14:textId="3DEEF050" w:rsidR="00FC3313" w:rsidRPr="001F3D27" w:rsidRDefault="008E606C" w:rsidP="00FC3313">
            <w:pPr>
              <w:rPr>
                <w:rFonts w:ascii="Arial" w:eastAsia="Arial" w:hAnsi="Arial" w:cs="Arial"/>
                <w:sz w:val="18"/>
                <w:szCs w:val="18"/>
              </w:rPr>
            </w:pPr>
            <w:r>
              <w:rPr>
                <w:rFonts w:ascii="Arial" w:eastAsia="Arial" w:hAnsi="Arial" w:cs="Arial"/>
                <w:sz w:val="18"/>
                <w:szCs w:val="18"/>
              </w:rPr>
              <w:t>Titre</w:t>
            </w:r>
            <w:r w:rsidR="00FC3313" w:rsidRPr="00FC3313">
              <w:rPr>
                <w:rFonts w:ascii="Arial" w:eastAsia="Arial" w:hAnsi="Arial" w:cs="Arial"/>
                <w:sz w:val="18"/>
                <w:szCs w:val="18"/>
              </w:rPr>
              <w:t>:</w:t>
            </w:r>
          </w:p>
        </w:tc>
        <w:tc>
          <w:tcPr>
            <w:tcW w:w="7710" w:type="dxa"/>
            <w:tcBorders>
              <w:top w:val="single" w:sz="6" w:space="0" w:color="000000"/>
              <w:left w:val="single" w:sz="6" w:space="0" w:color="000000"/>
              <w:bottom w:val="single" w:sz="4" w:space="0" w:color="000000"/>
              <w:right w:val="single" w:sz="6" w:space="0" w:color="000000"/>
            </w:tcBorders>
          </w:tcPr>
          <w:p w14:paraId="41C1E666" w14:textId="320288EC" w:rsidR="00FC3313" w:rsidRPr="001F3D27" w:rsidRDefault="0065602B">
            <w:pPr>
              <w:tabs>
                <w:tab w:val="left" w:pos="-720"/>
              </w:tabs>
              <w:spacing w:before="40" w:after="54"/>
              <w:rPr>
                <w:rFonts w:ascii="Arial" w:eastAsia="Arial" w:hAnsi="Arial" w:cs="Arial"/>
                <w:sz w:val="18"/>
                <w:szCs w:val="18"/>
              </w:rPr>
            </w:pPr>
            <w:r>
              <w:rPr>
                <w:rFonts w:ascii="Arial" w:eastAsia="Arial" w:hAnsi="Arial" w:cs="Arial"/>
                <w:sz w:val="18"/>
                <w:szCs w:val="18"/>
              </w:rPr>
              <w:t>Graphiste</w:t>
            </w:r>
            <w:r w:rsidR="00D96B3F">
              <w:rPr>
                <w:rFonts w:ascii="Arial" w:eastAsia="Arial" w:hAnsi="Arial" w:cs="Arial"/>
                <w:sz w:val="18"/>
                <w:szCs w:val="18"/>
              </w:rPr>
              <w:t xml:space="preserve"> </w:t>
            </w:r>
            <w:r w:rsidR="00D96B3F" w:rsidRPr="00D96B3F">
              <w:rPr>
                <w:rFonts w:ascii="Arial" w:eastAsia="Arial" w:hAnsi="Arial" w:cs="Arial"/>
                <w:sz w:val="18"/>
                <w:szCs w:val="18"/>
              </w:rPr>
              <w:t>(Local)</w:t>
            </w:r>
          </w:p>
        </w:tc>
      </w:tr>
      <w:tr w:rsidR="00A552C1" w:rsidRPr="001F3D27" w14:paraId="7BC4BBAF" w14:textId="77777777">
        <w:tc>
          <w:tcPr>
            <w:tcW w:w="2730" w:type="dxa"/>
            <w:tcBorders>
              <w:top w:val="single" w:sz="6" w:space="0" w:color="000000"/>
              <w:left w:val="single" w:sz="6" w:space="0" w:color="000000"/>
              <w:bottom w:val="single" w:sz="4" w:space="0" w:color="000000"/>
            </w:tcBorders>
          </w:tcPr>
          <w:p w14:paraId="5714F464" w14:textId="77777777" w:rsidR="00A552C1" w:rsidRPr="001F3D27" w:rsidRDefault="001F3D27">
            <w:pPr>
              <w:rPr>
                <w:rFonts w:ascii="Arial" w:eastAsia="Arial" w:hAnsi="Arial" w:cs="Arial"/>
                <w:sz w:val="18"/>
                <w:szCs w:val="18"/>
              </w:rPr>
            </w:pPr>
            <w:r w:rsidRPr="001F3D27">
              <w:rPr>
                <w:rFonts w:ascii="Arial" w:eastAsia="Arial" w:hAnsi="Arial" w:cs="Arial"/>
                <w:sz w:val="18"/>
                <w:szCs w:val="18"/>
              </w:rPr>
              <w:t>Bureau Pays:</w:t>
            </w:r>
          </w:p>
        </w:tc>
        <w:tc>
          <w:tcPr>
            <w:tcW w:w="7710" w:type="dxa"/>
            <w:tcBorders>
              <w:top w:val="single" w:sz="6" w:space="0" w:color="000000"/>
              <w:left w:val="single" w:sz="6" w:space="0" w:color="000000"/>
              <w:bottom w:val="single" w:sz="4" w:space="0" w:color="000000"/>
              <w:right w:val="single" w:sz="6" w:space="0" w:color="000000"/>
            </w:tcBorders>
          </w:tcPr>
          <w:p w14:paraId="59F08900" w14:textId="77777777" w:rsidR="00A552C1" w:rsidRPr="001F3D27" w:rsidRDefault="001F3D27">
            <w:pPr>
              <w:tabs>
                <w:tab w:val="left" w:pos="-720"/>
              </w:tabs>
              <w:spacing w:before="40" w:after="54"/>
              <w:rPr>
                <w:rFonts w:ascii="Arial" w:eastAsia="Arial" w:hAnsi="Arial" w:cs="Arial"/>
                <w:sz w:val="18"/>
                <w:szCs w:val="18"/>
                <w:highlight w:val="yellow"/>
              </w:rPr>
            </w:pPr>
            <w:r w:rsidRPr="001F3D27">
              <w:rPr>
                <w:rFonts w:ascii="Arial" w:eastAsia="Arial" w:hAnsi="Arial" w:cs="Arial"/>
                <w:sz w:val="18"/>
                <w:szCs w:val="18"/>
              </w:rPr>
              <w:t>Haïti</w:t>
            </w:r>
          </w:p>
        </w:tc>
      </w:tr>
      <w:tr w:rsidR="00A552C1" w:rsidRPr="001F3D27" w14:paraId="4941D53B" w14:textId="77777777">
        <w:tc>
          <w:tcPr>
            <w:tcW w:w="2730" w:type="dxa"/>
            <w:tcBorders>
              <w:top w:val="single" w:sz="6" w:space="0" w:color="000000"/>
              <w:left w:val="single" w:sz="6" w:space="0" w:color="000000"/>
              <w:bottom w:val="single" w:sz="6" w:space="0" w:color="000000"/>
            </w:tcBorders>
          </w:tcPr>
          <w:p w14:paraId="45611DFD" w14:textId="77777777" w:rsidR="00A552C1" w:rsidRPr="001F3D27" w:rsidRDefault="001F3D27">
            <w:pPr>
              <w:rPr>
                <w:rFonts w:ascii="Arial" w:eastAsia="Arial" w:hAnsi="Arial" w:cs="Arial"/>
                <w:sz w:val="18"/>
                <w:szCs w:val="18"/>
              </w:rPr>
            </w:pPr>
            <w:r w:rsidRPr="001F3D27">
              <w:rPr>
                <w:rFonts w:ascii="Arial" w:eastAsia="Arial" w:hAnsi="Arial" w:cs="Arial"/>
                <w:sz w:val="18"/>
                <w:szCs w:val="18"/>
              </w:rPr>
              <w:t>But de la consultation</w:t>
            </w:r>
          </w:p>
        </w:tc>
        <w:tc>
          <w:tcPr>
            <w:tcW w:w="7710" w:type="dxa"/>
            <w:tcBorders>
              <w:top w:val="single" w:sz="6" w:space="0" w:color="000000"/>
              <w:left w:val="single" w:sz="6" w:space="0" w:color="000000"/>
              <w:bottom w:val="single" w:sz="6" w:space="0" w:color="000000"/>
              <w:right w:val="single" w:sz="6" w:space="0" w:color="000000"/>
            </w:tcBorders>
          </w:tcPr>
          <w:p w14:paraId="39C83EAA" w14:textId="35A856EF" w:rsidR="00A552C1" w:rsidRPr="001F3D27" w:rsidRDefault="001F3D27" w:rsidP="001F3D27">
            <w:pPr>
              <w:tabs>
                <w:tab w:val="left" w:pos="-720"/>
              </w:tabs>
              <w:spacing w:before="40" w:after="54"/>
              <w:jc w:val="both"/>
              <w:rPr>
                <w:rFonts w:ascii="Arial" w:eastAsia="Arial" w:hAnsi="Arial" w:cs="Arial"/>
                <w:sz w:val="18"/>
                <w:szCs w:val="18"/>
              </w:rPr>
            </w:pPr>
            <w:r w:rsidRPr="001F3D27">
              <w:rPr>
                <w:rFonts w:ascii="Arial" w:eastAsia="Arial" w:hAnsi="Arial" w:cs="Arial"/>
                <w:sz w:val="18"/>
                <w:szCs w:val="18"/>
              </w:rPr>
              <w:t xml:space="preserve">L’UNFPA étant une institution clé au niveau global en matière d’assistance humanitaire, le bureau pays d’Haïti entend jouer selon son mandat un rôle de premier plan dans le cadre de la préparation et la réponse aux futures crises. Le programme Pays 2017-2021 de UNFPA prévoit de renforcer la capacité nationale dans des situations humanitaires en vue de fournir des services complets de santé maternelle et néonatale de grande qualité et de prestations de services plurisectoriels pour la prévention et la réponse </w:t>
            </w:r>
            <w:r w:rsidRPr="001F3D27">
              <w:rPr>
                <w:rFonts w:ascii="Calibri" w:eastAsia="Calibri" w:hAnsi="Calibri" w:cs="Calibri"/>
                <w:sz w:val="18"/>
                <w:szCs w:val="18"/>
              </w:rPr>
              <w:t>à</w:t>
            </w:r>
            <w:r w:rsidRPr="001F3D27">
              <w:rPr>
                <w:rFonts w:ascii="Arial" w:eastAsia="Arial" w:hAnsi="Arial" w:cs="Arial"/>
                <w:sz w:val="18"/>
                <w:szCs w:val="18"/>
              </w:rPr>
              <w:t xml:space="preserve"> la violence basée sur le genre pendant les situations d’urgence.</w:t>
            </w:r>
          </w:p>
          <w:p w14:paraId="5218CBBC" w14:textId="6A01754B" w:rsidR="00A552C1" w:rsidRPr="001F3D27" w:rsidRDefault="001F3D27" w:rsidP="001F3D27">
            <w:pPr>
              <w:tabs>
                <w:tab w:val="left" w:pos="-720"/>
              </w:tabs>
              <w:spacing w:before="40" w:after="54"/>
              <w:jc w:val="both"/>
              <w:rPr>
                <w:rFonts w:ascii="Arial" w:eastAsia="Arial" w:hAnsi="Arial" w:cs="Arial"/>
                <w:sz w:val="18"/>
                <w:szCs w:val="18"/>
              </w:rPr>
            </w:pPr>
            <w:r w:rsidRPr="001F3D27">
              <w:rPr>
                <w:rFonts w:ascii="Arial" w:eastAsia="Arial" w:hAnsi="Arial" w:cs="Arial"/>
                <w:sz w:val="18"/>
                <w:szCs w:val="18"/>
              </w:rPr>
              <w:t>En 2018, le bureau de l'UNFPA a mis en place le Plan d'Action Annuel de Préparation afin de s'assurer qu'Haïti a renforcé sa capacité pour la préparation et la réponse nationale aux urgences par la mise en œuvre des actions de préparation minimales. La préparation minimale comprend entre autres la mise à jour du plan d'urgence de communication et des médias y compris la disponibilité des matériaux de communication d'urgence avec des messages clés pour les communautés touchées par les catastrophes.</w:t>
            </w:r>
          </w:p>
          <w:p w14:paraId="1C4CCC2F" w14:textId="6003220F" w:rsidR="00A552C1" w:rsidRPr="001F3D27" w:rsidRDefault="001F3D27" w:rsidP="001F3D27">
            <w:pPr>
              <w:tabs>
                <w:tab w:val="left" w:pos="-720"/>
              </w:tabs>
              <w:spacing w:before="40" w:after="54"/>
              <w:jc w:val="both"/>
              <w:rPr>
                <w:rFonts w:ascii="Arial" w:eastAsia="Arial" w:hAnsi="Arial" w:cs="Arial"/>
                <w:sz w:val="18"/>
                <w:szCs w:val="18"/>
              </w:rPr>
            </w:pPr>
            <w:r w:rsidRPr="001F3D27">
              <w:rPr>
                <w:rFonts w:ascii="Arial" w:eastAsia="Arial" w:hAnsi="Arial" w:cs="Arial"/>
                <w:sz w:val="18"/>
                <w:szCs w:val="18"/>
              </w:rPr>
              <w:t>Pour cette raison, l'UNFPA souhaite disposer des outils de communication sous forme d’affiches, de brochures et autres produits graphiques et recherche un expert en communication / graphiste pour développer des outils de communication pour les situations d'urgence ainsi que des documents cl</w:t>
            </w:r>
            <w:r w:rsidRPr="001F3D27">
              <w:rPr>
                <w:rFonts w:ascii="Helvetica Neue" w:eastAsia="Helvetica Neue" w:hAnsi="Helvetica Neue" w:cs="Helvetica Neue"/>
                <w:sz w:val="18"/>
                <w:szCs w:val="18"/>
              </w:rPr>
              <w:t>é</w:t>
            </w:r>
            <w:r w:rsidRPr="001F3D27">
              <w:rPr>
                <w:rFonts w:ascii="Arial" w:eastAsia="Arial" w:hAnsi="Arial" w:cs="Arial"/>
                <w:sz w:val="18"/>
                <w:szCs w:val="18"/>
              </w:rPr>
              <w:t xml:space="preserve">s qui contribueront </w:t>
            </w:r>
            <w:r w:rsidRPr="001F3D27">
              <w:rPr>
                <w:rFonts w:ascii="Helvetica Neue" w:eastAsia="Helvetica Neue" w:hAnsi="Helvetica Neue" w:cs="Helvetica Neue"/>
                <w:sz w:val="18"/>
                <w:szCs w:val="18"/>
              </w:rPr>
              <w:t>à</w:t>
            </w:r>
            <w:r w:rsidRPr="001F3D27">
              <w:rPr>
                <w:rFonts w:ascii="Arial" w:eastAsia="Arial" w:hAnsi="Arial" w:cs="Arial"/>
                <w:sz w:val="18"/>
                <w:szCs w:val="18"/>
              </w:rPr>
              <w:t xml:space="preserve"> la visibilité du mandat de l’organisation.</w:t>
            </w:r>
          </w:p>
        </w:tc>
      </w:tr>
      <w:tr w:rsidR="00A552C1" w:rsidRPr="001F3D27" w14:paraId="6DE9F944" w14:textId="77777777">
        <w:tc>
          <w:tcPr>
            <w:tcW w:w="2730" w:type="dxa"/>
            <w:tcBorders>
              <w:top w:val="single" w:sz="6" w:space="0" w:color="000000"/>
              <w:left w:val="single" w:sz="6" w:space="0" w:color="000000"/>
              <w:bottom w:val="single" w:sz="6" w:space="0" w:color="000000"/>
            </w:tcBorders>
          </w:tcPr>
          <w:p w14:paraId="7D9E0E13"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t>Ampleur du travail :</w:t>
            </w:r>
          </w:p>
        </w:tc>
        <w:tc>
          <w:tcPr>
            <w:tcW w:w="7710" w:type="dxa"/>
            <w:tcBorders>
              <w:top w:val="single" w:sz="6" w:space="0" w:color="000000"/>
              <w:left w:val="single" w:sz="6" w:space="0" w:color="000000"/>
              <w:bottom w:val="single" w:sz="6" w:space="0" w:color="000000"/>
              <w:right w:val="single" w:sz="6" w:space="0" w:color="000000"/>
            </w:tcBorders>
          </w:tcPr>
          <w:p w14:paraId="338EE058" w14:textId="34827EAB" w:rsidR="00A552C1" w:rsidRPr="001F3D27" w:rsidRDefault="001F3D27" w:rsidP="001F3D27">
            <w:pPr>
              <w:tabs>
                <w:tab w:val="left" w:pos="-720"/>
              </w:tabs>
              <w:spacing w:before="40" w:after="54"/>
              <w:jc w:val="both"/>
              <w:rPr>
                <w:rFonts w:ascii="Arial" w:eastAsia="Arial" w:hAnsi="Arial" w:cs="Arial"/>
                <w:sz w:val="18"/>
                <w:szCs w:val="18"/>
              </w:rPr>
            </w:pPr>
            <w:r w:rsidRPr="001F3D27">
              <w:rPr>
                <w:rFonts w:ascii="Arial" w:eastAsia="Arial" w:hAnsi="Arial" w:cs="Arial"/>
                <w:sz w:val="18"/>
                <w:szCs w:val="18"/>
              </w:rPr>
              <w:t>Sous la supervision de l’équipe de communication et en étroite collaboration avec l’équipe humanitaire, le consultant produira des matériaux de communication en lien avec les domaines de responsabilité et du mandat de l’UNFPA et aussi pour couvrir les activités de préparation aux situations d’urgence conformément aux directives de publication de l’UNFPA. Il aura pour principales tâches notamment ;</w:t>
            </w:r>
          </w:p>
          <w:p w14:paraId="0B416A1C" w14:textId="481953E7" w:rsidR="00A552C1" w:rsidRPr="001F3D27" w:rsidRDefault="001F3D27" w:rsidP="001F3D27">
            <w:pPr>
              <w:numPr>
                <w:ilvl w:val="0"/>
                <w:numId w:val="1"/>
              </w:numPr>
              <w:tabs>
                <w:tab w:val="left" w:pos="-720"/>
              </w:tabs>
              <w:spacing w:before="40" w:after="54"/>
              <w:jc w:val="both"/>
            </w:pPr>
            <w:r w:rsidRPr="001F3D27">
              <w:rPr>
                <w:rFonts w:ascii="Arial" w:eastAsia="Arial" w:hAnsi="Arial" w:cs="Arial"/>
                <w:sz w:val="18"/>
                <w:szCs w:val="18"/>
              </w:rPr>
              <w:t>Elaborer des messages de communication clés de la préparation et la réponse aux urgences sur i) sujets généraux, ii) la santé sexuelle et reproductive iii) la violence basée sur le genre (VBG)</w:t>
            </w:r>
          </w:p>
          <w:p w14:paraId="67907B5A" w14:textId="0EB4AD12" w:rsidR="00A552C1" w:rsidRPr="001F3D27" w:rsidRDefault="001F3D27" w:rsidP="001F3D27">
            <w:pPr>
              <w:numPr>
                <w:ilvl w:val="0"/>
                <w:numId w:val="1"/>
              </w:numPr>
              <w:tabs>
                <w:tab w:val="left" w:pos="-720"/>
              </w:tabs>
              <w:spacing w:before="40" w:after="54"/>
              <w:jc w:val="both"/>
            </w:pPr>
            <w:r w:rsidRPr="001F3D27">
              <w:rPr>
                <w:rFonts w:ascii="Arial" w:eastAsia="Arial" w:hAnsi="Arial" w:cs="Arial"/>
                <w:sz w:val="18"/>
                <w:szCs w:val="18"/>
              </w:rPr>
              <w:t>Concevoir quatre (4) dépliants / brochures d'information (de 3 à 5 pages) pour la population touchée sur i) les kits d'urgence de l'UNFPA aux ménages, ii) messages généraux de la réponse aux urgences de l’UNFPA iii) la santé sexuelle et reproductive iv) la violence basée sur le genre (VBG)</w:t>
            </w:r>
          </w:p>
          <w:p w14:paraId="2CD91AF7" w14:textId="44605172" w:rsidR="00A552C1" w:rsidRPr="001F3D27" w:rsidRDefault="001F3D27" w:rsidP="001F3D27">
            <w:pPr>
              <w:numPr>
                <w:ilvl w:val="0"/>
                <w:numId w:val="1"/>
              </w:numPr>
              <w:tabs>
                <w:tab w:val="left" w:pos="-720"/>
              </w:tabs>
              <w:spacing w:before="40" w:after="54"/>
              <w:jc w:val="both"/>
            </w:pPr>
            <w:r w:rsidRPr="001F3D27">
              <w:rPr>
                <w:rFonts w:ascii="Arial" w:eastAsia="Arial" w:hAnsi="Arial" w:cs="Arial"/>
                <w:sz w:val="18"/>
                <w:szCs w:val="18"/>
              </w:rPr>
              <w:t xml:space="preserve">Concevoir trois (3) affiches ii) messages généraux de la réponse aux urgences de l’UNFPA pour les institutions sanitaires/centres d'hébergement et les autres installations communautaires sur i) messages généraux de la réponse aux urgences de l’UNFPA ii) la santé sexuelle et reproductive iii) la violence basée sur le genre (VBG) </w:t>
            </w:r>
          </w:p>
          <w:p w14:paraId="4631572B" w14:textId="0E617844" w:rsidR="00A552C1" w:rsidRPr="001F3D27" w:rsidRDefault="001F3D27" w:rsidP="001F3D27">
            <w:pPr>
              <w:numPr>
                <w:ilvl w:val="0"/>
                <w:numId w:val="1"/>
              </w:numPr>
              <w:tabs>
                <w:tab w:val="left" w:pos="-720"/>
              </w:tabs>
              <w:spacing w:before="40" w:after="54"/>
              <w:jc w:val="both"/>
            </w:pPr>
            <w:r w:rsidRPr="001F3D27">
              <w:rPr>
                <w:rFonts w:ascii="Arial" w:eastAsia="Arial" w:hAnsi="Arial" w:cs="Arial"/>
                <w:sz w:val="18"/>
                <w:szCs w:val="18"/>
              </w:rPr>
              <w:t>Proposer des éléments visuels ou des supports de communication pour élargir les possibilités de sensibilisation sur la base de chacun des thèmes qui lui seront précisés, sous forme de prémaquette avant la réalisation de la maquette proprement dite.</w:t>
            </w:r>
          </w:p>
        </w:tc>
      </w:tr>
      <w:tr w:rsidR="00A552C1" w:rsidRPr="001F3D27" w14:paraId="6EE26EAB" w14:textId="77777777">
        <w:tc>
          <w:tcPr>
            <w:tcW w:w="2730" w:type="dxa"/>
            <w:tcBorders>
              <w:top w:val="single" w:sz="6" w:space="0" w:color="000000"/>
              <w:left w:val="single" w:sz="6" w:space="0" w:color="000000"/>
              <w:bottom w:val="single" w:sz="6" w:space="0" w:color="000000"/>
            </w:tcBorders>
          </w:tcPr>
          <w:p w14:paraId="440C8E14"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t>Duration and working schedule:</w:t>
            </w:r>
          </w:p>
        </w:tc>
        <w:tc>
          <w:tcPr>
            <w:tcW w:w="7710" w:type="dxa"/>
            <w:tcBorders>
              <w:top w:val="single" w:sz="6" w:space="0" w:color="000000"/>
              <w:left w:val="single" w:sz="6" w:space="0" w:color="000000"/>
              <w:bottom w:val="single" w:sz="6" w:space="0" w:color="000000"/>
              <w:right w:val="single" w:sz="6" w:space="0" w:color="000000"/>
            </w:tcBorders>
          </w:tcPr>
          <w:p w14:paraId="30B37028"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t>30 jours</w:t>
            </w:r>
          </w:p>
        </w:tc>
      </w:tr>
      <w:tr w:rsidR="00A552C1" w:rsidRPr="001F3D27" w14:paraId="6A3487DA" w14:textId="77777777">
        <w:tc>
          <w:tcPr>
            <w:tcW w:w="2730" w:type="dxa"/>
            <w:tcBorders>
              <w:top w:val="single" w:sz="6" w:space="0" w:color="000000"/>
              <w:left w:val="single" w:sz="6" w:space="0" w:color="000000"/>
              <w:bottom w:val="single" w:sz="6" w:space="0" w:color="000000"/>
            </w:tcBorders>
          </w:tcPr>
          <w:p w14:paraId="7FBC828A"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i/>
                <w:sz w:val="18"/>
                <w:szCs w:val="18"/>
              </w:rPr>
              <w:t>Lieu :</w:t>
            </w:r>
          </w:p>
        </w:tc>
        <w:tc>
          <w:tcPr>
            <w:tcW w:w="7710" w:type="dxa"/>
            <w:tcBorders>
              <w:top w:val="single" w:sz="6" w:space="0" w:color="000000"/>
              <w:left w:val="single" w:sz="6" w:space="0" w:color="000000"/>
              <w:bottom w:val="single" w:sz="6" w:space="0" w:color="000000"/>
              <w:right w:val="single" w:sz="6" w:space="0" w:color="000000"/>
            </w:tcBorders>
          </w:tcPr>
          <w:p w14:paraId="7DE8E20A"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t>Port-au-Prince, Haïti</w:t>
            </w:r>
          </w:p>
        </w:tc>
      </w:tr>
      <w:tr w:rsidR="00A552C1" w:rsidRPr="001F3D27" w14:paraId="2B80A628" w14:textId="77777777">
        <w:tc>
          <w:tcPr>
            <w:tcW w:w="2730" w:type="dxa"/>
            <w:tcBorders>
              <w:top w:val="single" w:sz="6" w:space="0" w:color="000000"/>
              <w:left w:val="single" w:sz="6" w:space="0" w:color="000000"/>
              <w:bottom w:val="single" w:sz="6" w:space="0" w:color="000000"/>
            </w:tcBorders>
          </w:tcPr>
          <w:p w14:paraId="7C4C9786"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i/>
                <w:sz w:val="18"/>
                <w:szCs w:val="18"/>
              </w:rPr>
              <w:t>Date de remise du document (e.g. electronic, hard copy etc.):</w:t>
            </w:r>
          </w:p>
        </w:tc>
        <w:tc>
          <w:tcPr>
            <w:tcW w:w="7710" w:type="dxa"/>
            <w:tcBorders>
              <w:top w:val="single" w:sz="6" w:space="0" w:color="000000"/>
              <w:left w:val="single" w:sz="6" w:space="0" w:color="000000"/>
              <w:bottom w:val="single" w:sz="6" w:space="0" w:color="000000"/>
              <w:right w:val="single" w:sz="6" w:space="0" w:color="000000"/>
            </w:tcBorders>
          </w:tcPr>
          <w:p w14:paraId="215DEE03" w14:textId="02AFDEF9"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t>Avant la fin du contrat conformément aux directives données par l'UNFPA, le(la) consultant (e) fournira ; i) les copies papiers en couleur (au moins une copie par produit), ii) les versions électroniques au format PDF prêtes pour impression (300 ppp) du ColorSpace CMJN et iii) ainsi que tous les fichiers sources au format AI</w:t>
            </w:r>
          </w:p>
        </w:tc>
      </w:tr>
      <w:tr w:rsidR="00A552C1" w:rsidRPr="001F3D27" w14:paraId="27ACAC64" w14:textId="77777777">
        <w:tc>
          <w:tcPr>
            <w:tcW w:w="2730" w:type="dxa"/>
            <w:tcBorders>
              <w:top w:val="single" w:sz="6" w:space="0" w:color="000000"/>
              <w:left w:val="single" w:sz="6" w:space="0" w:color="000000"/>
              <w:bottom w:val="single" w:sz="6" w:space="0" w:color="000000"/>
            </w:tcBorders>
          </w:tcPr>
          <w:p w14:paraId="017327CC"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t xml:space="preserve">Monitoring and progress control, including reporting </w:t>
            </w:r>
            <w:r w:rsidRPr="001F3D27">
              <w:rPr>
                <w:rFonts w:ascii="Arial" w:eastAsia="Arial" w:hAnsi="Arial" w:cs="Arial"/>
                <w:sz w:val="18"/>
                <w:szCs w:val="18"/>
              </w:rPr>
              <w:lastRenderedPageBreak/>
              <w:t>requirements, periodicity format and deadline:</w:t>
            </w:r>
          </w:p>
        </w:tc>
        <w:tc>
          <w:tcPr>
            <w:tcW w:w="7710" w:type="dxa"/>
            <w:tcBorders>
              <w:top w:val="single" w:sz="6" w:space="0" w:color="000000"/>
              <w:left w:val="single" w:sz="6" w:space="0" w:color="000000"/>
              <w:bottom w:val="single" w:sz="6" w:space="0" w:color="000000"/>
              <w:right w:val="single" w:sz="6" w:space="0" w:color="000000"/>
            </w:tcBorders>
          </w:tcPr>
          <w:p w14:paraId="39CA79BA" w14:textId="43B986B1"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lastRenderedPageBreak/>
              <w:t>Tous les produits doivent faire l’objet d’approbation par l’UNFPA, aussi tous les livrables sont d</w:t>
            </w:r>
            <w:r w:rsidRPr="001F3D27">
              <w:rPr>
                <w:rFonts w:ascii="Calibri" w:eastAsia="Calibri" w:hAnsi="Calibri" w:cs="Calibri"/>
                <w:sz w:val="18"/>
                <w:szCs w:val="18"/>
              </w:rPr>
              <w:t>û</w:t>
            </w:r>
            <w:r w:rsidRPr="001F3D27">
              <w:rPr>
                <w:rFonts w:ascii="Arial" w:eastAsia="Arial" w:hAnsi="Arial" w:cs="Arial"/>
                <w:sz w:val="18"/>
                <w:szCs w:val="18"/>
              </w:rPr>
              <w:t>s à la fin du contrat et constituent la propriété exclusive de l’organisation.</w:t>
            </w:r>
          </w:p>
        </w:tc>
      </w:tr>
      <w:tr w:rsidR="00A552C1" w:rsidRPr="001F3D27" w14:paraId="40627F73" w14:textId="77777777">
        <w:tc>
          <w:tcPr>
            <w:tcW w:w="2730" w:type="dxa"/>
            <w:tcBorders>
              <w:top w:val="single" w:sz="6" w:space="0" w:color="000000"/>
              <w:left w:val="single" w:sz="6" w:space="0" w:color="000000"/>
              <w:bottom w:val="single" w:sz="6" w:space="0" w:color="000000"/>
            </w:tcBorders>
          </w:tcPr>
          <w:p w14:paraId="265E32C6"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i/>
                <w:sz w:val="18"/>
                <w:szCs w:val="18"/>
              </w:rPr>
              <w:lastRenderedPageBreak/>
              <w:t xml:space="preserve">Superviseur: </w:t>
            </w:r>
          </w:p>
        </w:tc>
        <w:tc>
          <w:tcPr>
            <w:tcW w:w="7710" w:type="dxa"/>
            <w:tcBorders>
              <w:top w:val="single" w:sz="6" w:space="0" w:color="000000"/>
              <w:left w:val="single" w:sz="6" w:space="0" w:color="000000"/>
              <w:bottom w:val="single" w:sz="6" w:space="0" w:color="000000"/>
              <w:right w:val="single" w:sz="6" w:space="0" w:color="000000"/>
            </w:tcBorders>
          </w:tcPr>
          <w:p w14:paraId="06CEA37C" w14:textId="0CA42420" w:rsidR="00A552C1" w:rsidRPr="001F3D27" w:rsidRDefault="001F3D27" w:rsidP="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t>Moetsi Duchatellier</w:t>
            </w:r>
          </w:p>
        </w:tc>
      </w:tr>
      <w:tr w:rsidR="00A552C1" w:rsidRPr="001F3D27" w14:paraId="6BE01903" w14:textId="77777777">
        <w:tc>
          <w:tcPr>
            <w:tcW w:w="2730" w:type="dxa"/>
            <w:tcBorders>
              <w:top w:val="single" w:sz="6" w:space="0" w:color="000000"/>
              <w:left w:val="single" w:sz="6" w:space="0" w:color="000000"/>
              <w:bottom w:val="single" w:sz="6" w:space="0" w:color="000000"/>
            </w:tcBorders>
          </w:tcPr>
          <w:p w14:paraId="1DC0297C"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t>Voyage prévu:</w:t>
            </w:r>
          </w:p>
        </w:tc>
        <w:tc>
          <w:tcPr>
            <w:tcW w:w="7710" w:type="dxa"/>
            <w:tcBorders>
              <w:top w:val="single" w:sz="6" w:space="0" w:color="000000"/>
              <w:left w:val="single" w:sz="6" w:space="0" w:color="000000"/>
              <w:bottom w:val="single" w:sz="6" w:space="0" w:color="000000"/>
              <w:right w:val="single" w:sz="6" w:space="0" w:color="000000"/>
            </w:tcBorders>
          </w:tcPr>
          <w:p w14:paraId="70043131"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t>Non</w:t>
            </w:r>
          </w:p>
        </w:tc>
      </w:tr>
      <w:tr w:rsidR="00A552C1" w:rsidRPr="001F3D27" w14:paraId="70F4FFAE" w14:textId="77777777">
        <w:tc>
          <w:tcPr>
            <w:tcW w:w="2730" w:type="dxa"/>
            <w:tcBorders>
              <w:top w:val="single" w:sz="6" w:space="0" w:color="000000"/>
              <w:left w:val="single" w:sz="6" w:space="0" w:color="000000"/>
              <w:bottom w:val="single" w:sz="6" w:space="0" w:color="000000"/>
            </w:tcBorders>
          </w:tcPr>
          <w:p w14:paraId="0F2C7DCE"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t>Qualifications et compétences requises :</w:t>
            </w:r>
          </w:p>
        </w:tc>
        <w:tc>
          <w:tcPr>
            <w:tcW w:w="7710" w:type="dxa"/>
            <w:tcBorders>
              <w:top w:val="single" w:sz="6" w:space="0" w:color="000000"/>
              <w:left w:val="single" w:sz="6" w:space="0" w:color="000000"/>
              <w:bottom w:val="single" w:sz="6" w:space="0" w:color="000000"/>
              <w:right w:val="single" w:sz="6" w:space="0" w:color="000000"/>
            </w:tcBorders>
          </w:tcPr>
          <w:p w14:paraId="38E30919" w14:textId="3009A6C9" w:rsidR="00A552C1" w:rsidRPr="001F3D27" w:rsidRDefault="001F3D27" w:rsidP="001F3D27">
            <w:pPr>
              <w:numPr>
                <w:ilvl w:val="0"/>
                <w:numId w:val="1"/>
              </w:numPr>
              <w:tabs>
                <w:tab w:val="left" w:pos="-720"/>
              </w:tabs>
              <w:spacing w:before="40" w:after="54"/>
              <w:jc w:val="both"/>
            </w:pPr>
            <w:r w:rsidRPr="001F3D27">
              <w:rPr>
                <w:rFonts w:ascii="Arial" w:eastAsia="Arial" w:hAnsi="Arial" w:cs="Arial"/>
                <w:sz w:val="18"/>
                <w:szCs w:val="18"/>
              </w:rPr>
              <w:t>Consultant local titulaire d’un diplôme niveau bac +3</w:t>
            </w:r>
            <w:r>
              <w:rPr>
                <w:rFonts w:ascii="Arial" w:eastAsia="Arial" w:hAnsi="Arial" w:cs="Arial"/>
                <w:sz w:val="18"/>
                <w:szCs w:val="18"/>
              </w:rPr>
              <w:t xml:space="preserve"> ans</w:t>
            </w:r>
            <w:r w:rsidRPr="001F3D27">
              <w:rPr>
                <w:rFonts w:ascii="Arial" w:eastAsia="Arial" w:hAnsi="Arial" w:cs="Arial"/>
                <w:sz w:val="18"/>
                <w:szCs w:val="18"/>
              </w:rPr>
              <w:t xml:space="preserve"> dans le domaine de l’infographie, communication multimédia</w:t>
            </w:r>
          </w:p>
          <w:p w14:paraId="78E0E5EF" w14:textId="77777777" w:rsidR="00A552C1" w:rsidRPr="001F3D27" w:rsidRDefault="001F3D27" w:rsidP="001F3D27">
            <w:pPr>
              <w:numPr>
                <w:ilvl w:val="0"/>
                <w:numId w:val="1"/>
              </w:numPr>
              <w:tabs>
                <w:tab w:val="left" w:pos="-720"/>
              </w:tabs>
              <w:spacing w:before="40" w:after="54"/>
              <w:jc w:val="both"/>
            </w:pPr>
            <w:r w:rsidRPr="001F3D27">
              <w:rPr>
                <w:rFonts w:ascii="Arial" w:eastAsia="Arial" w:hAnsi="Arial" w:cs="Arial"/>
                <w:sz w:val="18"/>
                <w:szCs w:val="18"/>
              </w:rPr>
              <w:t>Au moins trois années d'expérience pertinente dans la création, la sélection et l'utilisation de graphiques pour développer des supports de communication.</w:t>
            </w:r>
          </w:p>
          <w:p w14:paraId="66E20A91" w14:textId="7057BFD1" w:rsidR="00A552C1" w:rsidRPr="001F3D27" w:rsidRDefault="001F3D27" w:rsidP="001F3D27">
            <w:pPr>
              <w:numPr>
                <w:ilvl w:val="0"/>
                <w:numId w:val="1"/>
              </w:numPr>
              <w:tabs>
                <w:tab w:val="left" w:pos="-720"/>
              </w:tabs>
              <w:spacing w:before="40" w:after="54"/>
              <w:jc w:val="both"/>
            </w:pPr>
            <w:r w:rsidRPr="001F3D27">
              <w:rPr>
                <w:rFonts w:ascii="Arial" w:eastAsia="Arial" w:hAnsi="Arial" w:cs="Arial"/>
                <w:sz w:val="18"/>
                <w:szCs w:val="18"/>
              </w:rPr>
              <w:t>Portefeuille de maquettes précédentes idéalement lié au domaine de gestion de risques et de désastres ou de programmes destinés à la sensibilisation et communication de masse avec des organisations nationales et internationales. Le (la) consultant (e) fournira une copie de trois de ses créations sur support papier couleur.</w:t>
            </w:r>
          </w:p>
          <w:p w14:paraId="08BC498D" w14:textId="77777777" w:rsidR="00A552C1" w:rsidRPr="001F3D27" w:rsidRDefault="001F3D27" w:rsidP="001F3D27">
            <w:pPr>
              <w:numPr>
                <w:ilvl w:val="0"/>
                <w:numId w:val="1"/>
              </w:numPr>
              <w:tabs>
                <w:tab w:val="left" w:pos="-720"/>
              </w:tabs>
              <w:spacing w:before="40" w:after="54"/>
              <w:jc w:val="both"/>
            </w:pPr>
            <w:r w:rsidRPr="001F3D27">
              <w:rPr>
                <w:rFonts w:ascii="Arial" w:eastAsia="Arial" w:hAnsi="Arial" w:cs="Arial"/>
                <w:sz w:val="18"/>
                <w:szCs w:val="18"/>
              </w:rPr>
              <w:t>Expertise dans l’utilisation des logiciels Adobe Creative Suite (ou à un programme similaire), Corel Draw et connaissance de la typographie, utilisation des signes et des images, mise en page, interactive (web, multimédia). Les trois meilleurs candidats (tes) seront invités (es) à produire une affiche de sensibilisation dans un délai et sur un thème qui leur sera communiqué au temps opportun.</w:t>
            </w:r>
          </w:p>
          <w:p w14:paraId="3A5E56C7" w14:textId="77777777" w:rsidR="00A552C1" w:rsidRPr="001F3D27" w:rsidRDefault="001F3D27" w:rsidP="001F3D27">
            <w:pPr>
              <w:numPr>
                <w:ilvl w:val="0"/>
                <w:numId w:val="1"/>
              </w:numPr>
              <w:tabs>
                <w:tab w:val="left" w:pos="-720"/>
              </w:tabs>
              <w:spacing w:before="40" w:after="54"/>
              <w:jc w:val="both"/>
            </w:pPr>
            <w:r w:rsidRPr="001F3D27">
              <w:rPr>
                <w:rFonts w:ascii="Arial" w:eastAsia="Arial" w:hAnsi="Arial" w:cs="Arial"/>
                <w:sz w:val="18"/>
                <w:szCs w:val="18"/>
              </w:rPr>
              <w:t xml:space="preserve">Un historique des idées créatives et de la réflexion hors des sentiers battus, compétences en illustration constituent un atout </w:t>
            </w:r>
          </w:p>
          <w:p w14:paraId="5033DEBE" w14:textId="07E9F6A9" w:rsidR="00A552C1" w:rsidRPr="001F3D27" w:rsidRDefault="001F3D27" w:rsidP="001F3D27">
            <w:pPr>
              <w:numPr>
                <w:ilvl w:val="0"/>
                <w:numId w:val="1"/>
              </w:numPr>
              <w:tabs>
                <w:tab w:val="left" w:pos="-720"/>
              </w:tabs>
              <w:spacing w:before="40" w:after="54"/>
              <w:jc w:val="both"/>
            </w:pPr>
            <w:r w:rsidRPr="001F3D27">
              <w:rPr>
                <w:rFonts w:ascii="Arial" w:eastAsia="Arial" w:hAnsi="Arial" w:cs="Arial"/>
                <w:sz w:val="18"/>
                <w:szCs w:val="18"/>
              </w:rPr>
              <w:t>Parlant couramment le français et le créole, une connaissance pratique de l'anglais sera considérée comme un atout</w:t>
            </w:r>
          </w:p>
        </w:tc>
      </w:tr>
      <w:tr w:rsidR="00A552C1" w:rsidRPr="001F3D27" w14:paraId="13AD223F" w14:textId="77777777">
        <w:tc>
          <w:tcPr>
            <w:tcW w:w="2730" w:type="dxa"/>
            <w:tcBorders>
              <w:top w:val="single" w:sz="6" w:space="0" w:color="000000"/>
              <w:left w:val="single" w:sz="6" w:space="0" w:color="000000"/>
              <w:bottom w:val="single" w:sz="6" w:space="0" w:color="000000"/>
            </w:tcBorders>
          </w:tcPr>
          <w:p w14:paraId="02019C31"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t>Services fournis par l’UNFPA</w:t>
            </w:r>
          </w:p>
        </w:tc>
        <w:tc>
          <w:tcPr>
            <w:tcW w:w="7710" w:type="dxa"/>
            <w:tcBorders>
              <w:top w:val="single" w:sz="6" w:space="0" w:color="000000"/>
              <w:left w:val="single" w:sz="6" w:space="0" w:color="000000"/>
              <w:bottom w:val="single" w:sz="6" w:space="0" w:color="000000"/>
              <w:right w:val="single" w:sz="6" w:space="0" w:color="000000"/>
            </w:tcBorders>
          </w:tcPr>
          <w:p w14:paraId="12D1BF86" w14:textId="77777777" w:rsidR="00A552C1" w:rsidRPr="001F3D27" w:rsidRDefault="001F3D27">
            <w:pPr>
              <w:tabs>
                <w:tab w:val="left" w:pos="-720"/>
              </w:tabs>
              <w:spacing w:before="40" w:after="54"/>
              <w:rPr>
                <w:rFonts w:ascii="Arial" w:eastAsia="Arial" w:hAnsi="Arial" w:cs="Arial"/>
                <w:sz w:val="18"/>
                <w:szCs w:val="18"/>
              </w:rPr>
            </w:pPr>
            <w:r w:rsidRPr="001F3D27">
              <w:rPr>
                <w:rFonts w:ascii="Arial" w:eastAsia="Arial" w:hAnsi="Arial" w:cs="Arial"/>
                <w:sz w:val="18"/>
                <w:szCs w:val="18"/>
              </w:rPr>
              <w:t>Non</w:t>
            </w:r>
          </w:p>
        </w:tc>
      </w:tr>
      <w:tr w:rsidR="00A552C1" w:rsidRPr="001F3D27" w14:paraId="2A3607C3" w14:textId="77777777">
        <w:tc>
          <w:tcPr>
            <w:tcW w:w="2730" w:type="dxa"/>
            <w:tcBorders>
              <w:top w:val="single" w:sz="6" w:space="0" w:color="000000"/>
              <w:left w:val="single" w:sz="6" w:space="0" w:color="000000"/>
              <w:bottom w:val="single" w:sz="6" w:space="0" w:color="000000"/>
            </w:tcBorders>
          </w:tcPr>
          <w:p w14:paraId="74077598" w14:textId="77777777" w:rsidR="00A552C1" w:rsidRPr="001F3D27" w:rsidRDefault="001F3D27">
            <w:pPr>
              <w:tabs>
                <w:tab w:val="left" w:pos="-720"/>
              </w:tabs>
              <w:rPr>
                <w:rFonts w:ascii="Arial" w:eastAsia="Arial" w:hAnsi="Arial" w:cs="Arial"/>
                <w:sz w:val="18"/>
                <w:szCs w:val="18"/>
              </w:rPr>
            </w:pPr>
            <w:r w:rsidRPr="001F3D27">
              <w:rPr>
                <w:rFonts w:ascii="Arial" w:eastAsia="Arial" w:hAnsi="Arial" w:cs="Arial"/>
                <w:sz w:val="18"/>
                <w:szCs w:val="18"/>
              </w:rPr>
              <w:t>Autres informations;</w:t>
            </w:r>
          </w:p>
        </w:tc>
        <w:tc>
          <w:tcPr>
            <w:tcW w:w="7710" w:type="dxa"/>
            <w:tcBorders>
              <w:top w:val="single" w:sz="6" w:space="0" w:color="000000"/>
              <w:left w:val="single" w:sz="6" w:space="0" w:color="000000"/>
              <w:bottom w:val="single" w:sz="6" w:space="0" w:color="000000"/>
              <w:right w:val="single" w:sz="6" w:space="0" w:color="000000"/>
            </w:tcBorders>
          </w:tcPr>
          <w:p w14:paraId="5D373696" w14:textId="3D4FA392" w:rsidR="00A552C1" w:rsidRPr="001F3D27" w:rsidRDefault="001F3D27">
            <w:pPr>
              <w:tabs>
                <w:tab w:val="left" w:pos="-720"/>
              </w:tabs>
              <w:rPr>
                <w:rFonts w:ascii="Arial" w:eastAsia="Arial" w:hAnsi="Arial" w:cs="Arial"/>
                <w:sz w:val="18"/>
                <w:szCs w:val="18"/>
              </w:rPr>
            </w:pPr>
            <w:r w:rsidRPr="001F3D27">
              <w:rPr>
                <w:rFonts w:ascii="Arial" w:eastAsia="Arial" w:hAnsi="Arial" w:cs="Arial"/>
                <w:sz w:val="18"/>
                <w:szCs w:val="18"/>
              </w:rPr>
              <w:t>Les honoraires liés à la prestation seront fonctions de l’expérience du (de la) consultant (e), du nombre de jours requis et sur base du taux honoraire fixé par le contrat.</w:t>
            </w:r>
          </w:p>
        </w:tc>
      </w:tr>
      <w:tr w:rsidR="00A552C1" w:rsidRPr="001F3D27" w14:paraId="34E728D1" w14:textId="77777777">
        <w:tc>
          <w:tcPr>
            <w:tcW w:w="10440" w:type="dxa"/>
            <w:gridSpan w:val="2"/>
            <w:tcBorders>
              <w:top w:val="single" w:sz="4" w:space="0" w:color="000000"/>
              <w:left w:val="single" w:sz="6" w:space="0" w:color="000000"/>
              <w:bottom w:val="single" w:sz="6" w:space="0" w:color="000000"/>
              <w:right w:val="single" w:sz="6" w:space="0" w:color="000000"/>
            </w:tcBorders>
          </w:tcPr>
          <w:p w14:paraId="75D49390" w14:textId="77777777" w:rsidR="00A552C1" w:rsidRPr="001F3D27" w:rsidRDefault="00A552C1">
            <w:pPr>
              <w:tabs>
                <w:tab w:val="left" w:pos="-720"/>
              </w:tabs>
              <w:rPr>
                <w:rFonts w:ascii="Arial" w:eastAsia="Arial" w:hAnsi="Arial" w:cs="Arial"/>
                <w:sz w:val="18"/>
                <w:szCs w:val="18"/>
              </w:rPr>
            </w:pPr>
          </w:p>
          <w:p w14:paraId="772DDF57" w14:textId="77777777" w:rsidR="00A552C1" w:rsidRPr="001F3D27" w:rsidRDefault="001F3D27">
            <w:pPr>
              <w:tabs>
                <w:tab w:val="left" w:pos="-720"/>
              </w:tabs>
              <w:rPr>
                <w:rFonts w:ascii="Arial" w:eastAsia="Arial" w:hAnsi="Arial" w:cs="Arial"/>
                <w:sz w:val="18"/>
                <w:szCs w:val="18"/>
              </w:rPr>
            </w:pPr>
            <w:r w:rsidRPr="001F3D27">
              <w:rPr>
                <w:rFonts w:ascii="Arial" w:eastAsia="Arial" w:hAnsi="Arial" w:cs="Arial"/>
                <w:sz w:val="18"/>
                <w:szCs w:val="18"/>
              </w:rPr>
              <w:t>Signature of Requesting Officer in Hiring Office:</w:t>
            </w:r>
          </w:p>
          <w:p w14:paraId="35DDF954" w14:textId="77777777" w:rsidR="00A552C1" w:rsidRPr="001F3D27" w:rsidRDefault="00A552C1">
            <w:pPr>
              <w:tabs>
                <w:tab w:val="left" w:pos="-720"/>
              </w:tabs>
              <w:rPr>
                <w:rFonts w:ascii="Arial" w:eastAsia="Arial" w:hAnsi="Arial" w:cs="Arial"/>
                <w:sz w:val="18"/>
                <w:szCs w:val="18"/>
              </w:rPr>
            </w:pPr>
          </w:p>
          <w:p w14:paraId="1FB2D493" w14:textId="77777777" w:rsidR="00A552C1" w:rsidRPr="001F3D27" w:rsidRDefault="001F3D27">
            <w:pPr>
              <w:tabs>
                <w:tab w:val="left" w:pos="-720"/>
              </w:tabs>
              <w:rPr>
                <w:rFonts w:ascii="Arial" w:eastAsia="Arial" w:hAnsi="Arial" w:cs="Arial"/>
                <w:sz w:val="18"/>
                <w:szCs w:val="18"/>
              </w:rPr>
            </w:pPr>
            <w:r w:rsidRPr="001F3D27">
              <w:rPr>
                <w:rFonts w:ascii="Arial" w:eastAsia="Arial" w:hAnsi="Arial" w:cs="Arial"/>
                <w:sz w:val="18"/>
                <w:szCs w:val="18"/>
              </w:rPr>
              <w:t>Date:</w:t>
            </w:r>
          </w:p>
          <w:p w14:paraId="2A91C2B3" w14:textId="77777777" w:rsidR="00A552C1" w:rsidRPr="001F3D27" w:rsidRDefault="00A552C1">
            <w:pPr>
              <w:tabs>
                <w:tab w:val="left" w:pos="-720"/>
              </w:tabs>
              <w:rPr>
                <w:rFonts w:ascii="Arial" w:eastAsia="Arial" w:hAnsi="Arial" w:cs="Arial"/>
                <w:sz w:val="18"/>
                <w:szCs w:val="18"/>
                <w:highlight w:val="yellow"/>
              </w:rPr>
            </w:pPr>
          </w:p>
        </w:tc>
      </w:tr>
    </w:tbl>
    <w:p w14:paraId="2315A0F6" w14:textId="77777777" w:rsidR="00A552C1" w:rsidRPr="001F3D27" w:rsidRDefault="00A552C1">
      <w:pPr>
        <w:rPr>
          <w:sz w:val="16"/>
          <w:szCs w:val="16"/>
        </w:rPr>
      </w:pPr>
    </w:p>
    <w:p w14:paraId="0FCCB857" w14:textId="77777777" w:rsidR="00A552C1" w:rsidRPr="001F3D27" w:rsidRDefault="001F3D27">
      <w:pPr>
        <w:rPr>
          <w:rFonts w:ascii="Arial" w:eastAsia="Arial" w:hAnsi="Arial" w:cs="Arial"/>
          <w:sz w:val="18"/>
          <w:szCs w:val="18"/>
        </w:rPr>
      </w:pPr>
      <w:r w:rsidRPr="001F3D27">
        <w:rPr>
          <w:rFonts w:ascii="Arial" w:eastAsia="Arial" w:hAnsi="Arial" w:cs="Arial"/>
          <w:b/>
          <w:sz w:val="18"/>
          <w:szCs w:val="18"/>
        </w:rPr>
        <w:t>COA</w:t>
      </w:r>
    </w:p>
    <w:tbl>
      <w:tblPr>
        <w:tblStyle w:val="a0"/>
        <w:tblW w:w="7054" w:type="dxa"/>
        <w:tblInd w:w="118" w:type="dxa"/>
        <w:tblLayout w:type="fixed"/>
        <w:tblLook w:val="0000" w:firstRow="0" w:lastRow="0" w:firstColumn="0" w:lastColumn="0" w:noHBand="0" w:noVBand="0"/>
      </w:tblPr>
      <w:tblGrid>
        <w:gridCol w:w="1300"/>
        <w:gridCol w:w="1300"/>
        <w:gridCol w:w="1300"/>
        <w:gridCol w:w="1747"/>
        <w:gridCol w:w="1407"/>
      </w:tblGrid>
      <w:tr w:rsidR="00A552C1" w:rsidRPr="001F3D27" w14:paraId="1AD2DCCA" w14:textId="77777777">
        <w:trPr>
          <w:trHeight w:val="340"/>
        </w:trPr>
        <w:tc>
          <w:tcPr>
            <w:tcW w:w="1300" w:type="dxa"/>
            <w:tcBorders>
              <w:top w:val="single" w:sz="8" w:space="0" w:color="608BB4"/>
              <w:left w:val="single" w:sz="8" w:space="0" w:color="608BB4"/>
              <w:bottom w:val="single" w:sz="8" w:space="0" w:color="608BB4"/>
              <w:right w:val="single" w:sz="8" w:space="0" w:color="608BB4"/>
            </w:tcBorders>
            <w:shd w:val="clear" w:color="auto" w:fill="BFD2E2"/>
          </w:tcPr>
          <w:p w14:paraId="3BC89335" w14:textId="77777777" w:rsidR="00A552C1" w:rsidRPr="001F3D27" w:rsidRDefault="001F3D27">
            <w:pPr>
              <w:jc w:val="center"/>
              <w:rPr>
                <w:rFonts w:ascii="Arial" w:eastAsia="Arial" w:hAnsi="Arial" w:cs="Arial"/>
                <w:sz w:val="18"/>
                <w:szCs w:val="18"/>
              </w:rPr>
            </w:pPr>
            <w:r w:rsidRPr="001F3D27">
              <w:rPr>
                <w:rFonts w:ascii="Arial" w:eastAsia="Arial" w:hAnsi="Arial" w:cs="Arial"/>
                <w:sz w:val="18"/>
                <w:szCs w:val="18"/>
              </w:rPr>
              <w:t>Fund</w:t>
            </w:r>
          </w:p>
        </w:tc>
        <w:tc>
          <w:tcPr>
            <w:tcW w:w="1300" w:type="dxa"/>
            <w:tcBorders>
              <w:top w:val="single" w:sz="8" w:space="0" w:color="608BB4"/>
              <w:left w:val="nil"/>
              <w:bottom w:val="single" w:sz="8" w:space="0" w:color="608BB4"/>
              <w:right w:val="single" w:sz="8" w:space="0" w:color="608BB4"/>
            </w:tcBorders>
            <w:shd w:val="clear" w:color="auto" w:fill="BFD2E2"/>
          </w:tcPr>
          <w:p w14:paraId="18C43B89" w14:textId="77777777" w:rsidR="00A552C1" w:rsidRPr="001F3D27" w:rsidRDefault="001F3D27">
            <w:pPr>
              <w:jc w:val="center"/>
              <w:rPr>
                <w:rFonts w:ascii="Arial" w:eastAsia="Arial" w:hAnsi="Arial" w:cs="Arial"/>
                <w:sz w:val="18"/>
                <w:szCs w:val="18"/>
              </w:rPr>
            </w:pPr>
            <w:r w:rsidRPr="001F3D27">
              <w:rPr>
                <w:rFonts w:ascii="Arial" w:eastAsia="Arial" w:hAnsi="Arial" w:cs="Arial"/>
                <w:sz w:val="18"/>
                <w:szCs w:val="18"/>
              </w:rPr>
              <w:t>Implementing Agency</w:t>
            </w:r>
          </w:p>
        </w:tc>
        <w:tc>
          <w:tcPr>
            <w:tcW w:w="1300" w:type="dxa"/>
            <w:tcBorders>
              <w:top w:val="single" w:sz="8" w:space="0" w:color="608BB4"/>
              <w:left w:val="nil"/>
              <w:bottom w:val="single" w:sz="8" w:space="0" w:color="608BB4"/>
              <w:right w:val="single" w:sz="8" w:space="0" w:color="608BB4"/>
            </w:tcBorders>
            <w:shd w:val="clear" w:color="auto" w:fill="BFD2E2"/>
          </w:tcPr>
          <w:p w14:paraId="3B2CC419" w14:textId="77777777" w:rsidR="00A552C1" w:rsidRPr="001F3D27" w:rsidRDefault="001F3D27">
            <w:pPr>
              <w:jc w:val="center"/>
              <w:rPr>
                <w:rFonts w:ascii="Arial" w:eastAsia="Arial" w:hAnsi="Arial" w:cs="Arial"/>
                <w:sz w:val="18"/>
                <w:szCs w:val="18"/>
              </w:rPr>
            </w:pPr>
            <w:r w:rsidRPr="001F3D27">
              <w:rPr>
                <w:rFonts w:ascii="Arial" w:eastAsia="Arial" w:hAnsi="Arial" w:cs="Arial"/>
                <w:sz w:val="18"/>
                <w:szCs w:val="18"/>
              </w:rPr>
              <w:t>Project</w:t>
            </w:r>
          </w:p>
        </w:tc>
        <w:tc>
          <w:tcPr>
            <w:tcW w:w="1747" w:type="dxa"/>
            <w:tcBorders>
              <w:top w:val="single" w:sz="8" w:space="0" w:color="608BB4"/>
              <w:left w:val="nil"/>
              <w:bottom w:val="single" w:sz="8" w:space="0" w:color="608BB4"/>
              <w:right w:val="single" w:sz="8" w:space="0" w:color="608BB4"/>
            </w:tcBorders>
            <w:shd w:val="clear" w:color="auto" w:fill="BFD2E2"/>
          </w:tcPr>
          <w:p w14:paraId="3F6BB7F1" w14:textId="77777777" w:rsidR="00A552C1" w:rsidRPr="001F3D27" w:rsidRDefault="001F3D27">
            <w:pPr>
              <w:jc w:val="center"/>
              <w:rPr>
                <w:rFonts w:ascii="Arial" w:eastAsia="Arial" w:hAnsi="Arial" w:cs="Arial"/>
                <w:sz w:val="18"/>
                <w:szCs w:val="18"/>
              </w:rPr>
            </w:pPr>
            <w:r w:rsidRPr="001F3D27">
              <w:rPr>
                <w:rFonts w:ascii="Arial" w:eastAsia="Arial" w:hAnsi="Arial" w:cs="Arial"/>
                <w:sz w:val="18"/>
                <w:szCs w:val="18"/>
              </w:rPr>
              <w:t>Activity</w:t>
            </w:r>
          </w:p>
        </w:tc>
        <w:tc>
          <w:tcPr>
            <w:tcW w:w="1407" w:type="dxa"/>
            <w:tcBorders>
              <w:top w:val="single" w:sz="8" w:space="0" w:color="608BB4"/>
              <w:left w:val="nil"/>
              <w:bottom w:val="single" w:sz="8" w:space="0" w:color="608BB4"/>
              <w:right w:val="single" w:sz="8" w:space="0" w:color="608BB4"/>
            </w:tcBorders>
            <w:shd w:val="clear" w:color="auto" w:fill="BFD2E2"/>
          </w:tcPr>
          <w:p w14:paraId="227C6F9F" w14:textId="49616A87" w:rsidR="00A552C1" w:rsidRPr="001F3D27" w:rsidRDefault="009F2C87" w:rsidP="00401301">
            <w:pPr>
              <w:jc w:val="center"/>
              <w:rPr>
                <w:rFonts w:ascii="Arial" w:eastAsia="Arial" w:hAnsi="Arial" w:cs="Arial"/>
                <w:sz w:val="18"/>
                <w:szCs w:val="18"/>
              </w:rPr>
            </w:pPr>
            <w:r>
              <w:rPr>
                <w:rFonts w:ascii="Arial" w:eastAsia="Arial" w:hAnsi="Arial" w:cs="Arial"/>
                <w:sz w:val="18"/>
                <w:szCs w:val="18"/>
              </w:rPr>
              <w:t xml:space="preserve">Maximum </w:t>
            </w:r>
            <w:proofErr w:type="spellStart"/>
            <w:r w:rsidR="00401301">
              <w:rPr>
                <w:rFonts w:ascii="Arial" w:eastAsia="Arial" w:hAnsi="Arial" w:cs="Arial"/>
                <w:sz w:val="18"/>
                <w:szCs w:val="18"/>
              </w:rPr>
              <w:t>cost</w:t>
            </w:r>
            <w:proofErr w:type="spellEnd"/>
            <w:r w:rsidR="00401301">
              <w:rPr>
                <w:rFonts w:ascii="Arial" w:eastAsia="Arial" w:hAnsi="Arial" w:cs="Arial"/>
                <w:sz w:val="18"/>
                <w:szCs w:val="18"/>
              </w:rPr>
              <w:t xml:space="preserve"> to COA</w:t>
            </w:r>
          </w:p>
        </w:tc>
      </w:tr>
      <w:tr w:rsidR="00A552C1" w:rsidRPr="001F3D27" w14:paraId="722E6D74" w14:textId="77777777">
        <w:trPr>
          <w:trHeight w:val="340"/>
        </w:trPr>
        <w:tc>
          <w:tcPr>
            <w:tcW w:w="1300" w:type="dxa"/>
            <w:tcBorders>
              <w:top w:val="single" w:sz="8" w:space="0" w:color="608BB4"/>
              <w:left w:val="single" w:sz="8" w:space="0" w:color="608BB4"/>
              <w:bottom w:val="single" w:sz="8" w:space="0" w:color="608BB4"/>
              <w:right w:val="single" w:sz="8" w:space="0" w:color="608BB4"/>
            </w:tcBorders>
            <w:shd w:val="clear" w:color="auto" w:fill="BFD2E2"/>
          </w:tcPr>
          <w:p w14:paraId="266CE370" w14:textId="77777777" w:rsidR="00A552C1" w:rsidRPr="001F3D27" w:rsidRDefault="001F3D27">
            <w:pPr>
              <w:jc w:val="center"/>
              <w:rPr>
                <w:rFonts w:ascii="Arial" w:eastAsia="Arial" w:hAnsi="Arial" w:cs="Arial"/>
                <w:sz w:val="18"/>
                <w:szCs w:val="18"/>
              </w:rPr>
            </w:pPr>
            <w:r w:rsidRPr="001F3D27">
              <w:rPr>
                <w:rFonts w:ascii="Arial" w:eastAsia="Arial" w:hAnsi="Arial" w:cs="Arial"/>
                <w:sz w:val="18"/>
                <w:szCs w:val="18"/>
              </w:rPr>
              <w:t>ZZH05</w:t>
            </w:r>
          </w:p>
        </w:tc>
        <w:tc>
          <w:tcPr>
            <w:tcW w:w="1300" w:type="dxa"/>
            <w:tcBorders>
              <w:top w:val="single" w:sz="8" w:space="0" w:color="608BB4"/>
              <w:left w:val="nil"/>
              <w:bottom w:val="single" w:sz="8" w:space="0" w:color="608BB4"/>
              <w:right w:val="single" w:sz="8" w:space="0" w:color="608BB4"/>
            </w:tcBorders>
            <w:shd w:val="clear" w:color="auto" w:fill="BFD2E2"/>
          </w:tcPr>
          <w:p w14:paraId="3A5E000D" w14:textId="77777777" w:rsidR="00A552C1" w:rsidRPr="001F3D27" w:rsidRDefault="001F3D27">
            <w:pPr>
              <w:jc w:val="center"/>
              <w:rPr>
                <w:rFonts w:ascii="Arial" w:eastAsia="Arial" w:hAnsi="Arial" w:cs="Arial"/>
                <w:sz w:val="18"/>
                <w:szCs w:val="18"/>
              </w:rPr>
            </w:pPr>
            <w:r w:rsidRPr="001F3D27">
              <w:rPr>
                <w:rFonts w:ascii="Arial" w:eastAsia="Arial" w:hAnsi="Arial" w:cs="Arial"/>
                <w:sz w:val="18"/>
                <w:szCs w:val="18"/>
              </w:rPr>
              <w:t>PU0074</w:t>
            </w:r>
          </w:p>
        </w:tc>
        <w:tc>
          <w:tcPr>
            <w:tcW w:w="1300" w:type="dxa"/>
            <w:tcBorders>
              <w:top w:val="single" w:sz="8" w:space="0" w:color="608BB4"/>
              <w:left w:val="nil"/>
              <w:bottom w:val="single" w:sz="8" w:space="0" w:color="608BB4"/>
              <w:right w:val="single" w:sz="8" w:space="0" w:color="608BB4"/>
            </w:tcBorders>
            <w:shd w:val="clear" w:color="auto" w:fill="BFD2E2"/>
          </w:tcPr>
          <w:p w14:paraId="4334CDB0" w14:textId="77777777" w:rsidR="00A552C1" w:rsidRPr="001F3D27" w:rsidRDefault="001F3D27">
            <w:pPr>
              <w:jc w:val="center"/>
              <w:rPr>
                <w:rFonts w:ascii="Arial" w:eastAsia="Arial" w:hAnsi="Arial" w:cs="Arial"/>
                <w:sz w:val="18"/>
                <w:szCs w:val="18"/>
              </w:rPr>
            </w:pPr>
            <w:r w:rsidRPr="001F3D27">
              <w:rPr>
                <w:rFonts w:ascii="Arial" w:eastAsia="Arial" w:hAnsi="Arial" w:cs="Arial"/>
                <w:sz w:val="18"/>
                <w:szCs w:val="18"/>
              </w:rPr>
              <w:t>HRF01HTI</w:t>
            </w:r>
          </w:p>
        </w:tc>
        <w:tc>
          <w:tcPr>
            <w:tcW w:w="1747" w:type="dxa"/>
            <w:tcBorders>
              <w:top w:val="single" w:sz="8" w:space="0" w:color="608BB4"/>
              <w:left w:val="nil"/>
              <w:bottom w:val="single" w:sz="8" w:space="0" w:color="608BB4"/>
              <w:right w:val="single" w:sz="8" w:space="0" w:color="608BB4"/>
            </w:tcBorders>
            <w:shd w:val="clear" w:color="auto" w:fill="BFD2E2"/>
          </w:tcPr>
          <w:p w14:paraId="5BC3A00B" w14:textId="77777777" w:rsidR="00A552C1" w:rsidRPr="001F3D27" w:rsidRDefault="001F3D27">
            <w:pPr>
              <w:jc w:val="center"/>
              <w:rPr>
                <w:rFonts w:ascii="Arial" w:eastAsia="Arial" w:hAnsi="Arial" w:cs="Arial"/>
                <w:sz w:val="18"/>
                <w:szCs w:val="18"/>
              </w:rPr>
            </w:pPr>
            <w:r w:rsidRPr="001F3D27">
              <w:rPr>
                <w:rFonts w:ascii="Arial" w:eastAsia="Arial" w:hAnsi="Arial" w:cs="Arial"/>
                <w:sz w:val="18"/>
                <w:szCs w:val="18"/>
              </w:rPr>
              <w:t>EMERGENCYREP</w:t>
            </w:r>
          </w:p>
        </w:tc>
        <w:tc>
          <w:tcPr>
            <w:tcW w:w="1407" w:type="dxa"/>
            <w:tcBorders>
              <w:top w:val="single" w:sz="8" w:space="0" w:color="608BB4"/>
              <w:left w:val="nil"/>
              <w:bottom w:val="single" w:sz="8" w:space="0" w:color="608BB4"/>
              <w:right w:val="single" w:sz="8" w:space="0" w:color="608BB4"/>
            </w:tcBorders>
            <w:shd w:val="clear" w:color="auto" w:fill="BFD2E2"/>
          </w:tcPr>
          <w:p w14:paraId="7ADFAE4B" w14:textId="77777777" w:rsidR="00A552C1" w:rsidRPr="001F3D27" w:rsidRDefault="001F3D27">
            <w:pPr>
              <w:jc w:val="center"/>
              <w:rPr>
                <w:rFonts w:ascii="Arial" w:eastAsia="Arial" w:hAnsi="Arial" w:cs="Arial"/>
                <w:sz w:val="18"/>
                <w:szCs w:val="18"/>
              </w:rPr>
            </w:pPr>
            <w:r w:rsidRPr="001F3D27">
              <w:rPr>
                <w:rFonts w:ascii="Arial" w:eastAsia="Arial" w:hAnsi="Arial" w:cs="Arial"/>
                <w:sz w:val="18"/>
                <w:szCs w:val="18"/>
              </w:rPr>
              <w:t>$6,000</w:t>
            </w:r>
          </w:p>
        </w:tc>
      </w:tr>
    </w:tbl>
    <w:p w14:paraId="7A29DEDE" w14:textId="77777777" w:rsidR="00A552C1" w:rsidRPr="001F3D27" w:rsidRDefault="00A552C1">
      <w:pPr>
        <w:rPr>
          <w:sz w:val="16"/>
          <w:szCs w:val="16"/>
        </w:rPr>
      </w:pPr>
    </w:p>
    <w:sectPr w:rsidR="00A552C1" w:rsidRPr="001F3D27" w:rsidSect="00D5577D">
      <w:pgSz w:w="12240" w:h="15840" w:code="1"/>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9527F"/>
    <w:multiLevelType w:val="multilevel"/>
    <w:tmpl w:val="16A663F2"/>
    <w:lvl w:ilvl="0">
      <w:numFmt w:val="bullet"/>
      <w:lvlText w:val="•"/>
      <w:lvlJc w:val="left"/>
      <w:pPr>
        <w:ind w:left="720" w:hanging="72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C1"/>
    <w:rsid w:val="0004627B"/>
    <w:rsid w:val="001F3D27"/>
    <w:rsid w:val="00401301"/>
    <w:rsid w:val="004C4A58"/>
    <w:rsid w:val="0053442F"/>
    <w:rsid w:val="006245CD"/>
    <w:rsid w:val="0065602B"/>
    <w:rsid w:val="006A05D0"/>
    <w:rsid w:val="008E606C"/>
    <w:rsid w:val="009F2C87"/>
    <w:rsid w:val="00A552C1"/>
    <w:rsid w:val="00D5577D"/>
    <w:rsid w:val="00D96B3F"/>
    <w:rsid w:val="00FC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47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widowControl w:val="0"/>
      <w:tabs>
        <w:tab w:val="left" w:pos="-720"/>
      </w:tabs>
      <w:jc w:val="both"/>
      <w:outlineLvl w:val="0"/>
    </w:pPr>
    <w:rPr>
      <w:rFonts w:ascii="Palatino" w:eastAsia="Palatino" w:hAnsi="Palatino" w:cs="Palatino"/>
      <w:b/>
      <w:sz w:val="22"/>
      <w:szCs w:val="22"/>
    </w:rPr>
  </w:style>
  <w:style w:type="paragraph" w:styleId="Heading2">
    <w:name w:val="heading 2"/>
    <w:basedOn w:val="Normal"/>
    <w:next w:val="Normal"/>
    <w:pPr>
      <w:keepNext/>
      <w:widowControl w:val="0"/>
      <w:tabs>
        <w:tab w:val="left" w:pos="-720"/>
      </w:tabs>
      <w:jc w:val="center"/>
      <w:outlineLvl w:val="1"/>
    </w:pPr>
    <w:rPr>
      <w:rFonts w:ascii="Palatino" w:eastAsia="Palatino" w:hAnsi="Palatino" w:cs="Palatino"/>
      <w:b/>
      <w:sz w:val="20"/>
      <w:szCs w:val="20"/>
    </w:rPr>
  </w:style>
  <w:style w:type="paragraph" w:styleId="Heading3">
    <w:name w:val="heading 3"/>
    <w:basedOn w:val="Normal"/>
    <w:next w:val="Normal"/>
    <w:pPr>
      <w:keepNext/>
      <w:tabs>
        <w:tab w:val="left" w:pos="-720"/>
      </w:tabs>
      <w:spacing w:before="109" w:after="54"/>
      <w:outlineLvl w:val="2"/>
    </w:pPr>
    <w:rPr>
      <w:rFonts w:ascii="Palatino" w:eastAsia="Palatino" w:hAnsi="Palatino" w:cs="Palatino"/>
      <w:b/>
      <w:sz w:val="22"/>
      <w:szCs w:val="22"/>
    </w:rPr>
  </w:style>
  <w:style w:type="paragraph" w:styleId="Heading4">
    <w:name w:val="heading 4"/>
    <w:basedOn w:val="Normal"/>
    <w:next w:val="Normal"/>
    <w:pPr>
      <w:keepNext/>
      <w:jc w:val="right"/>
      <w:outlineLvl w:val="3"/>
    </w:pPr>
    <w:rPr>
      <w:rFonts w:ascii="Palatino" w:eastAsia="Palatino" w:hAnsi="Palatino" w:cs="Palatino"/>
      <w:b/>
      <w:sz w:val="22"/>
      <w:szCs w:val="22"/>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Arial" w:eastAsia="Arial" w:hAnsi="Arial" w:cs="Arial"/>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77" w:type="dxa"/>
        <w:right w:w="177"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4627B"/>
    <w:rPr>
      <w:sz w:val="18"/>
      <w:szCs w:val="18"/>
    </w:rPr>
  </w:style>
  <w:style w:type="character" w:customStyle="1" w:styleId="BalloonTextChar">
    <w:name w:val="Balloon Text Char"/>
    <w:basedOn w:val="DefaultParagraphFont"/>
    <w:link w:val="BalloonText"/>
    <w:uiPriority w:val="99"/>
    <w:semiHidden/>
    <w:rsid w:val="000462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UNFPA-Haiti</dc:creator>
  <cp:lastModifiedBy>UNFPA-Haiti</cp:lastModifiedBy>
  <cp:revision>2</cp:revision>
  <cp:lastPrinted>2018-08-31T14:18:00Z</cp:lastPrinted>
  <dcterms:created xsi:type="dcterms:W3CDTF">2018-09-21T16:28:00Z</dcterms:created>
  <dcterms:modified xsi:type="dcterms:W3CDTF">2018-09-21T16:28:00Z</dcterms:modified>
</cp:coreProperties>
</file>